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9F0470" w14:textId="77777777" w:rsidR="00447E60" w:rsidRPr="00A07B61" w:rsidRDefault="00447E60" w:rsidP="00B024F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522E91"/>
          <w:szCs w:val="24"/>
        </w:rPr>
      </w:pPr>
    </w:p>
    <w:p w14:paraId="677A1301" w14:textId="77777777" w:rsidR="003C32B2" w:rsidRDefault="00A857FC" w:rsidP="00E81D9E">
      <w:pPr>
        <w:pStyle w:val="Heading2"/>
        <w:numPr>
          <w:ilvl w:val="0"/>
          <w:numId w:val="0"/>
        </w:numPr>
        <w:ind w:left="709"/>
        <w:jc w:val="center"/>
        <w:rPr>
          <w:rStyle w:val="BookTitle"/>
        </w:rPr>
      </w:pPr>
      <w:r>
        <w:rPr>
          <w:b w:val="0"/>
          <w:noProof/>
          <w:sz w:val="58"/>
          <w:lang w:eastAsia="en-AU"/>
        </w:rPr>
        <w:drawing>
          <wp:inline distT="0" distB="0" distL="0" distR="0" wp14:anchorId="06C0B3FF" wp14:editId="29C5EB1F">
            <wp:extent cx="2686050" cy="23270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rple-Orange-Logo-RGB.jp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87755" cy="2328478"/>
                    </a:xfrm>
                    <a:prstGeom prst="rect">
                      <a:avLst/>
                    </a:prstGeom>
                  </pic:spPr>
                </pic:pic>
              </a:graphicData>
            </a:graphic>
          </wp:inline>
        </w:drawing>
      </w:r>
    </w:p>
    <w:p w14:paraId="5137F0CB" w14:textId="77777777" w:rsidR="0027533E" w:rsidRDefault="0027533E" w:rsidP="00B74B65">
      <w:pPr>
        <w:jc w:val="center"/>
        <w:rPr>
          <w:rStyle w:val="BookTitle"/>
        </w:rPr>
      </w:pPr>
    </w:p>
    <w:p w14:paraId="6A1D7702" w14:textId="77777777" w:rsidR="0027533E" w:rsidRDefault="0027533E" w:rsidP="00B74B65">
      <w:pPr>
        <w:jc w:val="center"/>
        <w:rPr>
          <w:rStyle w:val="BookTitle"/>
        </w:rPr>
      </w:pPr>
    </w:p>
    <w:p w14:paraId="076B6AB6" w14:textId="77777777" w:rsidR="0027533E" w:rsidRDefault="00CC7935" w:rsidP="0027533E">
      <w:pPr>
        <w:spacing w:line="240" w:lineRule="auto"/>
        <w:jc w:val="center"/>
        <w:rPr>
          <w:rStyle w:val="BookTitle"/>
        </w:rPr>
      </w:pPr>
      <w:r>
        <w:rPr>
          <w:rStyle w:val="BookTitle"/>
        </w:rPr>
        <w:t>Review of the Family Law System</w:t>
      </w:r>
    </w:p>
    <w:p w14:paraId="3EE97992" w14:textId="77777777" w:rsidR="0027533E" w:rsidRDefault="0027533E" w:rsidP="00B74B65">
      <w:pPr>
        <w:jc w:val="center"/>
        <w:rPr>
          <w:rStyle w:val="BookTitle"/>
          <w:sz w:val="48"/>
          <w:szCs w:val="48"/>
        </w:rPr>
      </w:pPr>
    </w:p>
    <w:p w14:paraId="1DE9AB63" w14:textId="77777777" w:rsidR="00031484" w:rsidRPr="0027533E" w:rsidRDefault="00B74B65" w:rsidP="00B74B65">
      <w:pPr>
        <w:jc w:val="center"/>
        <w:rPr>
          <w:rStyle w:val="BookTitle"/>
          <w:sz w:val="48"/>
          <w:szCs w:val="48"/>
        </w:rPr>
      </w:pPr>
      <w:r w:rsidRPr="0027533E">
        <w:rPr>
          <w:rStyle w:val="BookTitle"/>
          <w:sz w:val="48"/>
          <w:szCs w:val="48"/>
        </w:rPr>
        <w:t>Submission to</w:t>
      </w:r>
      <w:r w:rsidR="00CC7935">
        <w:rPr>
          <w:rStyle w:val="BookTitle"/>
          <w:sz w:val="48"/>
          <w:szCs w:val="48"/>
        </w:rPr>
        <w:t xml:space="preserve"> the</w:t>
      </w:r>
      <w:r w:rsidR="00AC75A7" w:rsidRPr="0027533E">
        <w:rPr>
          <w:rStyle w:val="BookTitle"/>
          <w:sz w:val="48"/>
          <w:szCs w:val="48"/>
        </w:rPr>
        <w:t xml:space="preserve"> </w:t>
      </w:r>
      <w:r w:rsidR="00CC7935">
        <w:rPr>
          <w:rStyle w:val="BookTitle"/>
          <w:sz w:val="48"/>
          <w:szCs w:val="48"/>
        </w:rPr>
        <w:t>Australian Law Reform Commission</w:t>
      </w:r>
    </w:p>
    <w:p w14:paraId="2860A42C" w14:textId="77777777" w:rsidR="00B74B65" w:rsidRDefault="00B74B65" w:rsidP="00D003C5">
      <w:pPr>
        <w:rPr>
          <w:lang w:eastAsia="ja-JP"/>
        </w:rPr>
      </w:pPr>
    </w:p>
    <w:p w14:paraId="1E86F019" w14:textId="77777777" w:rsidR="00031484" w:rsidRDefault="00031484" w:rsidP="00D003C5">
      <w:pPr>
        <w:rPr>
          <w:lang w:eastAsia="ja-JP"/>
        </w:rPr>
      </w:pPr>
    </w:p>
    <w:p w14:paraId="39B5A6D4" w14:textId="77777777" w:rsidR="00B74B65" w:rsidRDefault="00B74B65">
      <w:pPr>
        <w:spacing w:after="200" w:line="276" w:lineRule="auto"/>
        <w:rPr>
          <w:lang w:eastAsia="ja-JP"/>
        </w:rPr>
      </w:pPr>
      <w:r>
        <w:rPr>
          <w:lang w:eastAsia="ja-JP"/>
        </w:rPr>
        <w:br w:type="page"/>
      </w:r>
    </w:p>
    <w:p w14:paraId="08CDF241" w14:textId="77777777" w:rsidR="005C1237" w:rsidRPr="005C1237" w:rsidRDefault="005C1237" w:rsidP="005C1237">
      <w:pPr>
        <w:rPr>
          <w:rStyle w:val="Emphasis"/>
        </w:rPr>
      </w:pPr>
      <w:r w:rsidRPr="005C1237">
        <w:rPr>
          <w:rStyle w:val="Emphasis"/>
        </w:rPr>
        <w:lastRenderedPageBreak/>
        <w:t>About the Submitter</w:t>
      </w:r>
    </w:p>
    <w:p w14:paraId="71FD5537" w14:textId="77777777" w:rsidR="00703A32" w:rsidRPr="00E61557" w:rsidRDefault="00703A32" w:rsidP="00446F9F">
      <w:pPr>
        <w:spacing w:after="160"/>
        <w:jc w:val="both"/>
      </w:pPr>
      <w:r w:rsidRPr="00E61557">
        <w:t>JFA Purple Orange is an independent, social-profit organisation that undertakes systemic policy analysis and advocacy across a range of issues affecting people living with disability and their families.</w:t>
      </w:r>
    </w:p>
    <w:p w14:paraId="0BEFFC84" w14:textId="77777777" w:rsidR="00703A32" w:rsidRPr="00E61557" w:rsidRDefault="00703A32" w:rsidP="00446F9F">
      <w:pPr>
        <w:spacing w:after="160"/>
        <w:jc w:val="both"/>
      </w:pPr>
      <w:r w:rsidRPr="00E61557">
        <w:t>Our work is characterised by co-design and co-production, and includes hosting a number of user-led initiatives.</w:t>
      </w:r>
    </w:p>
    <w:p w14:paraId="5A626496" w14:textId="77777777" w:rsidR="00703A32" w:rsidRPr="00E61557" w:rsidRDefault="00703A32" w:rsidP="00446F9F">
      <w:pPr>
        <w:spacing w:after="160"/>
        <w:jc w:val="both"/>
      </w:pPr>
      <w:r w:rsidRPr="00E61557">
        <w:t>Much of our work involves connecting people living with disability to good information and to each other. We also work extensively in multi-stakeholder consultation and collaboration, especially around policy and practice that helps ensure people living with disability are welcomed as valued members of the mainstream community.</w:t>
      </w:r>
    </w:p>
    <w:p w14:paraId="6E6CE02D" w14:textId="77777777" w:rsidR="00703A32" w:rsidRPr="00E61557" w:rsidRDefault="00703A32" w:rsidP="00446F9F">
      <w:pPr>
        <w:spacing w:after="160"/>
        <w:jc w:val="both"/>
      </w:pPr>
      <w:r w:rsidRPr="00E61557">
        <w:t xml:space="preserve">Our work is informed by a model called </w:t>
      </w:r>
      <w:proofErr w:type="spellStart"/>
      <w:r w:rsidRPr="00E61557">
        <w:rPr>
          <w:i/>
        </w:rPr>
        <w:t>Citizenhood</w:t>
      </w:r>
      <w:proofErr w:type="spellEnd"/>
      <w:r w:rsidRPr="00E61557">
        <w:t>.</w:t>
      </w:r>
    </w:p>
    <w:p w14:paraId="4993FBF3" w14:textId="77777777" w:rsidR="005C1237" w:rsidRDefault="005C1237" w:rsidP="00D003C5">
      <w:pPr>
        <w:rPr>
          <w:lang w:eastAsia="ja-JP"/>
        </w:rPr>
      </w:pPr>
    </w:p>
    <w:p w14:paraId="4D35827A" w14:textId="77777777" w:rsidR="00031484" w:rsidRPr="00031484" w:rsidRDefault="00031484" w:rsidP="00D003C5">
      <w:pPr>
        <w:rPr>
          <w:lang w:eastAsia="ja-JP"/>
        </w:rPr>
      </w:pPr>
      <w:r w:rsidRPr="00031484">
        <w:rPr>
          <w:lang w:eastAsia="ja-JP"/>
        </w:rPr>
        <w:t>JFA Purple Orange</w:t>
      </w:r>
    </w:p>
    <w:p w14:paraId="18DB5D10" w14:textId="77777777" w:rsidR="00031484" w:rsidRPr="00031484" w:rsidRDefault="00031484" w:rsidP="00D003C5">
      <w:pPr>
        <w:rPr>
          <w:lang w:eastAsia="ja-JP"/>
        </w:rPr>
      </w:pPr>
      <w:r w:rsidRPr="00031484">
        <w:rPr>
          <w:lang w:eastAsia="ja-JP"/>
        </w:rPr>
        <w:t>104 Greenhill Road</w:t>
      </w:r>
    </w:p>
    <w:p w14:paraId="328DE104" w14:textId="77777777" w:rsidR="00031484" w:rsidRPr="00031484" w:rsidRDefault="00031484" w:rsidP="00D003C5">
      <w:pPr>
        <w:rPr>
          <w:lang w:eastAsia="ja-JP"/>
        </w:rPr>
      </w:pPr>
      <w:r w:rsidRPr="00031484">
        <w:rPr>
          <w:lang w:eastAsia="ja-JP"/>
        </w:rPr>
        <w:t>Unley SA 5061 AUSTRALIA</w:t>
      </w:r>
    </w:p>
    <w:p w14:paraId="07FE24C2" w14:textId="77777777" w:rsidR="00031484" w:rsidRPr="00031484" w:rsidRDefault="00031484" w:rsidP="00D003C5">
      <w:pPr>
        <w:rPr>
          <w:lang w:eastAsia="ja-JP"/>
        </w:rPr>
      </w:pPr>
    </w:p>
    <w:p w14:paraId="3BD4D2D6" w14:textId="77777777" w:rsidR="00031484" w:rsidRPr="00031484" w:rsidRDefault="00031484" w:rsidP="00D003C5">
      <w:pPr>
        <w:rPr>
          <w:lang w:eastAsia="ja-JP"/>
        </w:rPr>
      </w:pPr>
      <w:r w:rsidRPr="00031484">
        <w:rPr>
          <w:lang w:eastAsia="ja-JP"/>
        </w:rPr>
        <w:t>Telephone: + 61 (8) 8373 8333</w:t>
      </w:r>
    </w:p>
    <w:p w14:paraId="6EA92399" w14:textId="77777777" w:rsidR="00031484" w:rsidRPr="00031484" w:rsidRDefault="00031484" w:rsidP="00D003C5">
      <w:pPr>
        <w:rPr>
          <w:lang w:eastAsia="ja-JP"/>
        </w:rPr>
      </w:pPr>
      <w:r w:rsidRPr="00031484">
        <w:rPr>
          <w:lang w:eastAsia="ja-JP"/>
        </w:rPr>
        <w:t>Fax: + 61 (8) 8373 8373</w:t>
      </w:r>
    </w:p>
    <w:p w14:paraId="69C785D6" w14:textId="77777777" w:rsidR="00031484" w:rsidRPr="00031484" w:rsidRDefault="00031484" w:rsidP="00D003C5">
      <w:pPr>
        <w:rPr>
          <w:lang w:eastAsia="ja-JP"/>
        </w:rPr>
      </w:pPr>
      <w:r w:rsidRPr="00031484">
        <w:rPr>
          <w:lang w:eastAsia="ja-JP"/>
        </w:rPr>
        <w:t xml:space="preserve">Email: admin@purpleorange.org.au </w:t>
      </w:r>
    </w:p>
    <w:p w14:paraId="26665A41" w14:textId="256986D2" w:rsidR="00031484" w:rsidRDefault="00031484" w:rsidP="00D003C5">
      <w:pPr>
        <w:rPr>
          <w:lang w:eastAsia="ja-JP"/>
        </w:rPr>
      </w:pPr>
      <w:r w:rsidRPr="00031484">
        <w:rPr>
          <w:lang w:eastAsia="ja-JP"/>
        </w:rPr>
        <w:t xml:space="preserve">Website: </w:t>
      </w:r>
      <w:hyperlink r:id="rId10" w:history="1">
        <w:r w:rsidR="00516AFA" w:rsidRPr="00CB53C7">
          <w:rPr>
            <w:rStyle w:val="Hyperlink"/>
            <w:lang w:eastAsia="ja-JP"/>
          </w:rPr>
          <w:t>www.purpleorange.org.au</w:t>
        </w:r>
      </w:hyperlink>
    </w:p>
    <w:p w14:paraId="07F01302" w14:textId="78E32EDF" w:rsidR="00516AFA" w:rsidRDefault="00031484" w:rsidP="00D003C5">
      <w:pPr>
        <w:rPr>
          <w:lang w:eastAsia="ja-JP"/>
        </w:rPr>
      </w:pPr>
      <w:r w:rsidRPr="00031484">
        <w:rPr>
          <w:lang w:eastAsia="ja-JP"/>
        </w:rPr>
        <w:t xml:space="preserve">Facebook: </w:t>
      </w:r>
      <w:hyperlink r:id="rId11" w:history="1">
        <w:r w:rsidR="00516AFA" w:rsidRPr="00CB53C7">
          <w:rPr>
            <w:rStyle w:val="Hyperlink"/>
            <w:lang w:eastAsia="ja-JP"/>
          </w:rPr>
          <w:t>www.facebook.com/jfapurpleorange</w:t>
        </w:r>
      </w:hyperlink>
    </w:p>
    <w:p w14:paraId="3FA13E97" w14:textId="3E8A2BC8" w:rsidR="00031484" w:rsidRPr="00031484" w:rsidRDefault="00031484" w:rsidP="00D003C5">
      <w:pPr>
        <w:rPr>
          <w:lang w:eastAsia="ja-JP"/>
        </w:rPr>
      </w:pPr>
    </w:p>
    <w:p w14:paraId="27EAEB91" w14:textId="77777777" w:rsidR="00CC7935" w:rsidRPr="005C1237" w:rsidRDefault="00031484" w:rsidP="00D003C5">
      <w:pPr>
        <w:rPr>
          <w:rStyle w:val="Emphasis"/>
        </w:rPr>
      </w:pPr>
      <w:r w:rsidRPr="005C1237">
        <w:rPr>
          <w:rStyle w:val="Emphasis"/>
        </w:rPr>
        <w:t>Contributors</w:t>
      </w:r>
    </w:p>
    <w:p w14:paraId="7A5BE2CD" w14:textId="77777777" w:rsidR="00CC7935" w:rsidRDefault="00CC7935" w:rsidP="00D003C5">
      <w:pPr>
        <w:rPr>
          <w:lang w:eastAsia="ja-JP"/>
        </w:rPr>
      </w:pPr>
      <w:r>
        <w:rPr>
          <w:lang w:eastAsia="ja-JP"/>
        </w:rPr>
        <w:t>Jackie Hayes</w:t>
      </w:r>
    </w:p>
    <w:p w14:paraId="7EF4F5F8" w14:textId="77777777" w:rsidR="00C042A4" w:rsidRDefault="00F8337B" w:rsidP="00D003C5">
      <w:pPr>
        <w:rPr>
          <w:lang w:eastAsia="ja-JP"/>
        </w:rPr>
      </w:pPr>
      <w:r>
        <w:rPr>
          <w:lang w:eastAsia="ja-JP"/>
        </w:rPr>
        <w:t>Robbi Williams</w:t>
      </w:r>
    </w:p>
    <w:p w14:paraId="0086521F" w14:textId="77777777" w:rsidR="00516AFA" w:rsidRPr="00C042A4" w:rsidRDefault="00516AFA" w:rsidP="00D003C5">
      <w:pPr>
        <w:rPr>
          <w:lang w:eastAsia="ja-JP"/>
        </w:rPr>
      </w:pPr>
    </w:p>
    <w:p w14:paraId="15F824B2" w14:textId="77777777" w:rsidR="00031484" w:rsidRPr="00031484" w:rsidRDefault="00C93446" w:rsidP="00D003C5">
      <w:pPr>
        <w:rPr>
          <w:lang w:eastAsia="ja-JP"/>
        </w:rPr>
      </w:pPr>
      <w:r>
        <w:rPr>
          <w:lang w:eastAsia="ja-JP"/>
        </w:rPr>
        <w:t>©</w:t>
      </w:r>
      <w:r w:rsidR="00031484">
        <w:rPr>
          <w:lang w:eastAsia="ja-JP"/>
        </w:rPr>
        <w:t xml:space="preserve"> </w:t>
      </w:r>
      <w:r w:rsidR="00D66C22">
        <w:rPr>
          <w:lang w:eastAsia="ja-JP"/>
        </w:rPr>
        <w:t>November</w:t>
      </w:r>
      <w:r w:rsidR="002E7AFC">
        <w:rPr>
          <w:lang w:eastAsia="ja-JP"/>
        </w:rPr>
        <w:t xml:space="preserve"> 2018</w:t>
      </w:r>
      <w:r w:rsidR="00031484" w:rsidRPr="00031484">
        <w:rPr>
          <w:lang w:eastAsia="ja-JP"/>
        </w:rPr>
        <w:t xml:space="preserve"> Julia Farr Association Inc.</w:t>
      </w:r>
    </w:p>
    <w:p w14:paraId="6BA48C6A" w14:textId="77777777" w:rsidR="005C1237" w:rsidRDefault="005C1237">
      <w:pPr>
        <w:spacing w:after="200" w:line="276" w:lineRule="auto"/>
        <w:rPr>
          <w:rFonts w:ascii="Calibri" w:eastAsia="ヒラギノ角ゴ Pro W3" w:hAnsi="Calibri" w:cs="Calibri"/>
          <w:b/>
          <w:color w:val="522E91"/>
          <w:sz w:val="28"/>
          <w:szCs w:val="28"/>
          <w:lang w:eastAsia="en-AU"/>
        </w:rPr>
      </w:pPr>
      <w:r>
        <w:rPr>
          <w:rFonts w:ascii="Calibri" w:hAnsi="Calibri" w:cs="Calibri"/>
          <w:b/>
          <w:color w:val="522E91"/>
          <w:sz w:val="28"/>
          <w:szCs w:val="28"/>
        </w:rPr>
        <w:br w:type="page"/>
      </w:r>
    </w:p>
    <w:bookmarkStart w:id="0" w:name="_Toc392691379" w:displacedByCustomXml="next"/>
    <w:sdt>
      <w:sdtPr>
        <w:rPr>
          <w:rFonts w:asciiTheme="minorHAnsi" w:eastAsiaTheme="minorHAnsi" w:hAnsiTheme="minorHAnsi" w:cstheme="minorBidi"/>
          <w:b w:val="0"/>
          <w:bCs w:val="0"/>
          <w:color w:val="auto"/>
          <w:sz w:val="22"/>
          <w:szCs w:val="22"/>
          <w:lang w:val="en-AU" w:eastAsia="en-US"/>
        </w:rPr>
        <w:id w:val="1229107971"/>
        <w:docPartObj>
          <w:docPartGallery w:val="Table of Contents"/>
          <w:docPartUnique/>
        </w:docPartObj>
      </w:sdtPr>
      <w:sdtEndPr>
        <w:rPr>
          <w:noProof/>
          <w:sz w:val="24"/>
          <w:szCs w:val="24"/>
        </w:rPr>
      </w:sdtEndPr>
      <w:sdtContent>
        <w:p w14:paraId="22ABB0DA" w14:textId="77777777" w:rsidR="00887EE3" w:rsidRPr="00633879" w:rsidRDefault="00887EE3" w:rsidP="00D003C5">
          <w:pPr>
            <w:pStyle w:val="TOCHeading"/>
          </w:pPr>
          <w:r w:rsidRPr="005C1237">
            <w:rPr>
              <w:rFonts w:asciiTheme="minorHAnsi" w:hAnsiTheme="minorHAnsi"/>
              <w:color w:val="7030A0"/>
              <w:sz w:val="36"/>
            </w:rPr>
            <w:t>Contents</w:t>
          </w:r>
        </w:p>
        <w:p w14:paraId="2FAC55DE" w14:textId="77777777" w:rsidR="004543B0" w:rsidRDefault="00887EE3">
          <w:pPr>
            <w:pStyle w:val="TOC1"/>
            <w:tabs>
              <w:tab w:val="left" w:pos="440"/>
              <w:tab w:val="right" w:leader="dot" w:pos="9016"/>
            </w:tabs>
            <w:rPr>
              <w:rFonts w:eastAsiaTheme="minorEastAsia"/>
              <w:noProof/>
              <w:sz w:val="22"/>
              <w:szCs w:val="22"/>
              <w:lang w:eastAsia="en-AU"/>
            </w:rPr>
          </w:pPr>
          <w:r w:rsidRPr="00451FB3">
            <w:fldChar w:fldCharType="begin"/>
          </w:r>
          <w:r w:rsidRPr="00451FB3">
            <w:instrText xml:space="preserve"> TOC \o "1-3" \h \z \u </w:instrText>
          </w:r>
          <w:r w:rsidRPr="00451FB3">
            <w:fldChar w:fldCharType="separate"/>
          </w:r>
          <w:hyperlink w:anchor="_Toc528576202" w:history="1">
            <w:r w:rsidR="004543B0" w:rsidRPr="00293E3A">
              <w:rPr>
                <w:rStyle w:val="Hyperlink"/>
                <w:noProof/>
              </w:rPr>
              <w:t>1.</w:t>
            </w:r>
            <w:r w:rsidR="004543B0">
              <w:rPr>
                <w:rFonts w:eastAsiaTheme="minorEastAsia"/>
                <w:noProof/>
                <w:sz w:val="22"/>
                <w:szCs w:val="22"/>
                <w:lang w:eastAsia="en-AU"/>
              </w:rPr>
              <w:tab/>
            </w:r>
            <w:r w:rsidR="004543B0" w:rsidRPr="00293E3A">
              <w:rPr>
                <w:rStyle w:val="Hyperlink"/>
                <w:noProof/>
              </w:rPr>
              <w:t>Summary and recommendations</w:t>
            </w:r>
            <w:r w:rsidR="004543B0">
              <w:rPr>
                <w:noProof/>
                <w:webHidden/>
              </w:rPr>
              <w:tab/>
            </w:r>
            <w:r w:rsidR="004543B0">
              <w:rPr>
                <w:noProof/>
                <w:webHidden/>
              </w:rPr>
              <w:fldChar w:fldCharType="begin"/>
            </w:r>
            <w:r w:rsidR="004543B0">
              <w:rPr>
                <w:noProof/>
                <w:webHidden/>
              </w:rPr>
              <w:instrText xml:space="preserve"> PAGEREF _Toc528576202 \h </w:instrText>
            </w:r>
            <w:r w:rsidR="004543B0">
              <w:rPr>
                <w:noProof/>
                <w:webHidden/>
              </w:rPr>
            </w:r>
            <w:r w:rsidR="004543B0">
              <w:rPr>
                <w:noProof/>
                <w:webHidden/>
              </w:rPr>
              <w:fldChar w:fldCharType="separate"/>
            </w:r>
            <w:r w:rsidR="00714EED">
              <w:rPr>
                <w:noProof/>
                <w:webHidden/>
              </w:rPr>
              <w:t>4</w:t>
            </w:r>
            <w:r w:rsidR="004543B0">
              <w:rPr>
                <w:noProof/>
                <w:webHidden/>
              </w:rPr>
              <w:fldChar w:fldCharType="end"/>
            </w:r>
          </w:hyperlink>
        </w:p>
        <w:p w14:paraId="62EF036C" w14:textId="77777777" w:rsidR="004543B0" w:rsidRDefault="00714EED">
          <w:pPr>
            <w:pStyle w:val="TOC1"/>
            <w:tabs>
              <w:tab w:val="left" w:pos="440"/>
              <w:tab w:val="right" w:leader="dot" w:pos="9016"/>
            </w:tabs>
            <w:rPr>
              <w:rFonts w:eastAsiaTheme="minorEastAsia"/>
              <w:noProof/>
              <w:sz w:val="22"/>
              <w:szCs w:val="22"/>
              <w:lang w:eastAsia="en-AU"/>
            </w:rPr>
          </w:pPr>
          <w:hyperlink w:anchor="_Toc528576204" w:history="1">
            <w:r w:rsidR="004543B0" w:rsidRPr="00293E3A">
              <w:rPr>
                <w:rStyle w:val="Hyperlink"/>
                <w:noProof/>
              </w:rPr>
              <w:t>2.</w:t>
            </w:r>
            <w:r w:rsidR="004543B0">
              <w:rPr>
                <w:rFonts w:eastAsiaTheme="minorEastAsia"/>
                <w:noProof/>
                <w:sz w:val="22"/>
                <w:szCs w:val="22"/>
                <w:lang w:eastAsia="en-AU"/>
              </w:rPr>
              <w:tab/>
            </w:r>
            <w:r w:rsidR="004543B0" w:rsidRPr="00293E3A">
              <w:rPr>
                <w:rStyle w:val="Hyperlink"/>
                <w:noProof/>
              </w:rPr>
              <w:t>Introduction</w:t>
            </w:r>
            <w:r w:rsidR="004543B0">
              <w:rPr>
                <w:noProof/>
                <w:webHidden/>
              </w:rPr>
              <w:tab/>
            </w:r>
            <w:r w:rsidR="004543B0">
              <w:rPr>
                <w:noProof/>
                <w:webHidden/>
              </w:rPr>
              <w:fldChar w:fldCharType="begin"/>
            </w:r>
            <w:r w:rsidR="004543B0">
              <w:rPr>
                <w:noProof/>
                <w:webHidden/>
              </w:rPr>
              <w:instrText xml:space="preserve"> PAGEREF _Toc528576204 \h </w:instrText>
            </w:r>
            <w:r w:rsidR="004543B0">
              <w:rPr>
                <w:noProof/>
                <w:webHidden/>
              </w:rPr>
            </w:r>
            <w:r w:rsidR="004543B0">
              <w:rPr>
                <w:noProof/>
                <w:webHidden/>
              </w:rPr>
              <w:fldChar w:fldCharType="separate"/>
            </w:r>
            <w:r>
              <w:rPr>
                <w:noProof/>
                <w:webHidden/>
              </w:rPr>
              <w:t>6</w:t>
            </w:r>
            <w:r w:rsidR="004543B0">
              <w:rPr>
                <w:noProof/>
                <w:webHidden/>
              </w:rPr>
              <w:fldChar w:fldCharType="end"/>
            </w:r>
          </w:hyperlink>
        </w:p>
        <w:p w14:paraId="0663386E" w14:textId="77777777" w:rsidR="004543B0" w:rsidRDefault="00714EED">
          <w:pPr>
            <w:pStyle w:val="TOC1"/>
            <w:tabs>
              <w:tab w:val="left" w:pos="440"/>
              <w:tab w:val="right" w:leader="dot" w:pos="9016"/>
            </w:tabs>
            <w:rPr>
              <w:rFonts w:eastAsiaTheme="minorEastAsia"/>
              <w:noProof/>
              <w:sz w:val="22"/>
              <w:szCs w:val="22"/>
              <w:lang w:eastAsia="en-AU"/>
            </w:rPr>
          </w:pPr>
          <w:hyperlink w:anchor="_Toc528576205" w:history="1">
            <w:r w:rsidR="004543B0" w:rsidRPr="00293E3A">
              <w:rPr>
                <w:rStyle w:val="Hyperlink"/>
                <w:noProof/>
              </w:rPr>
              <w:t>3.</w:t>
            </w:r>
            <w:r w:rsidR="004543B0">
              <w:rPr>
                <w:rFonts w:eastAsiaTheme="minorEastAsia"/>
                <w:noProof/>
                <w:sz w:val="22"/>
                <w:szCs w:val="22"/>
                <w:lang w:eastAsia="en-AU"/>
              </w:rPr>
              <w:tab/>
            </w:r>
            <w:r w:rsidR="004543B0" w:rsidRPr="00293E3A">
              <w:rPr>
                <w:rStyle w:val="Hyperlink"/>
                <w:noProof/>
              </w:rPr>
              <w:t>About our values</w:t>
            </w:r>
            <w:r w:rsidR="004543B0">
              <w:rPr>
                <w:noProof/>
                <w:webHidden/>
              </w:rPr>
              <w:tab/>
            </w:r>
            <w:r w:rsidR="004543B0">
              <w:rPr>
                <w:noProof/>
                <w:webHidden/>
              </w:rPr>
              <w:fldChar w:fldCharType="begin"/>
            </w:r>
            <w:r w:rsidR="004543B0">
              <w:rPr>
                <w:noProof/>
                <w:webHidden/>
              </w:rPr>
              <w:instrText xml:space="preserve"> PAGEREF _Toc528576205 \h </w:instrText>
            </w:r>
            <w:r w:rsidR="004543B0">
              <w:rPr>
                <w:noProof/>
                <w:webHidden/>
              </w:rPr>
            </w:r>
            <w:r w:rsidR="004543B0">
              <w:rPr>
                <w:noProof/>
                <w:webHidden/>
              </w:rPr>
              <w:fldChar w:fldCharType="separate"/>
            </w:r>
            <w:r>
              <w:rPr>
                <w:noProof/>
                <w:webHidden/>
              </w:rPr>
              <w:t>6</w:t>
            </w:r>
            <w:r w:rsidR="004543B0">
              <w:rPr>
                <w:noProof/>
                <w:webHidden/>
              </w:rPr>
              <w:fldChar w:fldCharType="end"/>
            </w:r>
          </w:hyperlink>
        </w:p>
        <w:p w14:paraId="27788C02" w14:textId="77777777" w:rsidR="004543B0" w:rsidRDefault="00714EED">
          <w:pPr>
            <w:pStyle w:val="TOC1"/>
            <w:tabs>
              <w:tab w:val="left" w:pos="440"/>
              <w:tab w:val="right" w:leader="dot" w:pos="9016"/>
            </w:tabs>
            <w:rPr>
              <w:rFonts w:eastAsiaTheme="minorEastAsia"/>
              <w:noProof/>
              <w:sz w:val="22"/>
              <w:szCs w:val="22"/>
              <w:lang w:eastAsia="en-AU"/>
            </w:rPr>
          </w:pPr>
          <w:hyperlink w:anchor="_Toc528576206" w:history="1">
            <w:r w:rsidR="004543B0" w:rsidRPr="00293E3A">
              <w:rPr>
                <w:rStyle w:val="Hyperlink"/>
                <w:noProof/>
              </w:rPr>
              <w:t>4.</w:t>
            </w:r>
            <w:r w:rsidR="004543B0">
              <w:rPr>
                <w:rFonts w:eastAsiaTheme="minorEastAsia"/>
                <w:noProof/>
                <w:sz w:val="22"/>
                <w:szCs w:val="22"/>
                <w:lang w:eastAsia="en-AU"/>
              </w:rPr>
              <w:tab/>
            </w:r>
            <w:r w:rsidR="004543B0" w:rsidRPr="00293E3A">
              <w:rPr>
                <w:rStyle w:val="Hyperlink"/>
                <w:noProof/>
              </w:rPr>
              <w:t>Background</w:t>
            </w:r>
            <w:r w:rsidR="004543B0">
              <w:rPr>
                <w:noProof/>
                <w:webHidden/>
              </w:rPr>
              <w:tab/>
            </w:r>
            <w:r w:rsidR="004543B0">
              <w:rPr>
                <w:noProof/>
                <w:webHidden/>
              </w:rPr>
              <w:fldChar w:fldCharType="begin"/>
            </w:r>
            <w:r w:rsidR="004543B0">
              <w:rPr>
                <w:noProof/>
                <w:webHidden/>
              </w:rPr>
              <w:instrText xml:space="preserve"> PAGEREF _Toc528576206 \h </w:instrText>
            </w:r>
            <w:r w:rsidR="004543B0">
              <w:rPr>
                <w:noProof/>
                <w:webHidden/>
              </w:rPr>
            </w:r>
            <w:r w:rsidR="004543B0">
              <w:rPr>
                <w:noProof/>
                <w:webHidden/>
              </w:rPr>
              <w:fldChar w:fldCharType="separate"/>
            </w:r>
            <w:r>
              <w:rPr>
                <w:noProof/>
                <w:webHidden/>
              </w:rPr>
              <w:t>7</w:t>
            </w:r>
            <w:r w:rsidR="004543B0">
              <w:rPr>
                <w:noProof/>
                <w:webHidden/>
              </w:rPr>
              <w:fldChar w:fldCharType="end"/>
            </w:r>
          </w:hyperlink>
        </w:p>
        <w:p w14:paraId="569FFD78" w14:textId="77777777" w:rsidR="004543B0" w:rsidRDefault="00714EED">
          <w:pPr>
            <w:pStyle w:val="TOC1"/>
            <w:tabs>
              <w:tab w:val="left" w:pos="440"/>
              <w:tab w:val="right" w:leader="dot" w:pos="9016"/>
            </w:tabs>
            <w:rPr>
              <w:rFonts w:eastAsiaTheme="minorEastAsia"/>
              <w:noProof/>
              <w:sz w:val="22"/>
              <w:szCs w:val="22"/>
              <w:lang w:eastAsia="en-AU"/>
            </w:rPr>
          </w:pPr>
          <w:hyperlink w:anchor="_Toc528576207" w:history="1">
            <w:r w:rsidR="004543B0" w:rsidRPr="00293E3A">
              <w:rPr>
                <w:rStyle w:val="Hyperlink"/>
                <w:noProof/>
              </w:rPr>
              <w:t>5.</w:t>
            </w:r>
            <w:r w:rsidR="004543B0">
              <w:rPr>
                <w:rFonts w:eastAsiaTheme="minorEastAsia"/>
                <w:noProof/>
                <w:sz w:val="22"/>
                <w:szCs w:val="22"/>
                <w:lang w:eastAsia="en-AU"/>
              </w:rPr>
              <w:tab/>
            </w:r>
            <w:r w:rsidR="004543B0" w:rsidRPr="00293E3A">
              <w:rPr>
                <w:rStyle w:val="Hyperlink"/>
                <w:noProof/>
              </w:rPr>
              <w:t>Our approach to this submission</w:t>
            </w:r>
            <w:r w:rsidR="004543B0">
              <w:rPr>
                <w:noProof/>
                <w:webHidden/>
              </w:rPr>
              <w:tab/>
            </w:r>
            <w:r w:rsidR="004543B0">
              <w:rPr>
                <w:noProof/>
                <w:webHidden/>
              </w:rPr>
              <w:fldChar w:fldCharType="begin"/>
            </w:r>
            <w:r w:rsidR="004543B0">
              <w:rPr>
                <w:noProof/>
                <w:webHidden/>
              </w:rPr>
              <w:instrText xml:space="preserve"> PAGEREF _Toc528576207 \h </w:instrText>
            </w:r>
            <w:r w:rsidR="004543B0">
              <w:rPr>
                <w:noProof/>
                <w:webHidden/>
              </w:rPr>
            </w:r>
            <w:r w:rsidR="004543B0">
              <w:rPr>
                <w:noProof/>
                <w:webHidden/>
              </w:rPr>
              <w:fldChar w:fldCharType="separate"/>
            </w:r>
            <w:r>
              <w:rPr>
                <w:noProof/>
                <w:webHidden/>
              </w:rPr>
              <w:t>8</w:t>
            </w:r>
            <w:r w:rsidR="004543B0">
              <w:rPr>
                <w:noProof/>
                <w:webHidden/>
              </w:rPr>
              <w:fldChar w:fldCharType="end"/>
            </w:r>
          </w:hyperlink>
        </w:p>
        <w:p w14:paraId="52CBCF24" w14:textId="176F0F6C" w:rsidR="004543B0" w:rsidRDefault="00714EED" w:rsidP="009411D1">
          <w:pPr>
            <w:pStyle w:val="TOC1"/>
            <w:tabs>
              <w:tab w:val="left" w:pos="440"/>
              <w:tab w:val="right" w:leader="dot" w:pos="9016"/>
            </w:tabs>
            <w:ind w:left="435" w:hanging="435"/>
            <w:rPr>
              <w:rFonts w:eastAsiaTheme="minorEastAsia"/>
              <w:noProof/>
              <w:sz w:val="22"/>
              <w:szCs w:val="22"/>
              <w:lang w:eastAsia="en-AU"/>
            </w:rPr>
          </w:pPr>
          <w:hyperlink w:anchor="_Toc528576208" w:history="1">
            <w:r w:rsidR="004543B0" w:rsidRPr="00293E3A">
              <w:rPr>
                <w:rStyle w:val="Hyperlink"/>
                <w:noProof/>
              </w:rPr>
              <w:t>6.</w:t>
            </w:r>
            <w:r w:rsidR="004543B0">
              <w:rPr>
                <w:rFonts w:eastAsiaTheme="minorEastAsia"/>
                <w:noProof/>
                <w:sz w:val="22"/>
                <w:szCs w:val="22"/>
                <w:lang w:eastAsia="en-AU"/>
              </w:rPr>
              <w:tab/>
            </w:r>
            <w:r w:rsidR="009411D1">
              <w:rPr>
                <w:rFonts w:eastAsiaTheme="minorEastAsia"/>
                <w:noProof/>
                <w:sz w:val="22"/>
                <w:szCs w:val="22"/>
                <w:lang w:eastAsia="en-AU"/>
              </w:rPr>
              <w:tab/>
            </w:r>
            <w:r w:rsidR="004543B0" w:rsidRPr="00293E3A">
              <w:rPr>
                <w:rStyle w:val="Hyperlink"/>
                <w:noProof/>
              </w:rPr>
              <w:t>Proposals in the ALRC’s Review of the Family Law system discussion paper and people and children living with disability</w:t>
            </w:r>
            <w:r w:rsidR="004543B0">
              <w:rPr>
                <w:noProof/>
                <w:webHidden/>
              </w:rPr>
              <w:tab/>
            </w:r>
            <w:r w:rsidR="004543B0">
              <w:rPr>
                <w:noProof/>
                <w:webHidden/>
              </w:rPr>
              <w:fldChar w:fldCharType="begin"/>
            </w:r>
            <w:r w:rsidR="004543B0">
              <w:rPr>
                <w:noProof/>
                <w:webHidden/>
              </w:rPr>
              <w:instrText xml:space="preserve"> PAGEREF _Toc528576208 \h </w:instrText>
            </w:r>
            <w:r w:rsidR="004543B0">
              <w:rPr>
                <w:noProof/>
                <w:webHidden/>
              </w:rPr>
            </w:r>
            <w:r w:rsidR="004543B0">
              <w:rPr>
                <w:noProof/>
                <w:webHidden/>
              </w:rPr>
              <w:fldChar w:fldCharType="separate"/>
            </w:r>
            <w:r>
              <w:rPr>
                <w:noProof/>
                <w:webHidden/>
              </w:rPr>
              <w:t>9</w:t>
            </w:r>
            <w:r w:rsidR="004543B0">
              <w:rPr>
                <w:noProof/>
                <w:webHidden/>
              </w:rPr>
              <w:fldChar w:fldCharType="end"/>
            </w:r>
          </w:hyperlink>
        </w:p>
        <w:p w14:paraId="6FD67D27" w14:textId="77777777" w:rsidR="004543B0" w:rsidRDefault="00714EED">
          <w:pPr>
            <w:pStyle w:val="TOC2"/>
            <w:tabs>
              <w:tab w:val="left" w:pos="880"/>
              <w:tab w:val="right" w:leader="dot" w:pos="9016"/>
            </w:tabs>
            <w:rPr>
              <w:rFonts w:eastAsiaTheme="minorEastAsia"/>
              <w:noProof/>
              <w:sz w:val="22"/>
              <w:szCs w:val="22"/>
              <w:lang w:eastAsia="en-AU"/>
            </w:rPr>
          </w:pPr>
          <w:hyperlink w:anchor="_Toc528576209" w:history="1">
            <w:r w:rsidR="004543B0" w:rsidRPr="00293E3A">
              <w:rPr>
                <w:rStyle w:val="Hyperlink"/>
                <w:noProof/>
              </w:rPr>
              <w:t>6.1.</w:t>
            </w:r>
            <w:r w:rsidR="004543B0">
              <w:rPr>
                <w:rFonts w:eastAsiaTheme="minorEastAsia"/>
                <w:noProof/>
                <w:sz w:val="22"/>
                <w:szCs w:val="22"/>
                <w:lang w:eastAsia="en-AU"/>
              </w:rPr>
              <w:tab/>
            </w:r>
            <w:r w:rsidR="004543B0" w:rsidRPr="00293E3A">
              <w:rPr>
                <w:rStyle w:val="Hyperlink"/>
                <w:noProof/>
              </w:rPr>
              <w:t>Proposal 2: Education, Awareness and Information</w:t>
            </w:r>
            <w:r w:rsidR="004543B0">
              <w:rPr>
                <w:noProof/>
                <w:webHidden/>
              </w:rPr>
              <w:tab/>
            </w:r>
            <w:r w:rsidR="004543B0">
              <w:rPr>
                <w:noProof/>
                <w:webHidden/>
              </w:rPr>
              <w:fldChar w:fldCharType="begin"/>
            </w:r>
            <w:r w:rsidR="004543B0">
              <w:rPr>
                <w:noProof/>
                <w:webHidden/>
              </w:rPr>
              <w:instrText xml:space="preserve"> PAGEREF _Toc528576209 \h </w:instrText>
            </w:r>
            <w:r w:rsidR="004543B0">
              <w:rPr>
                <w:noProof/>
                <w:webHidden/>
              </w:rPr>
            </w:r>
            <w:r w:rsidR="004543B0">
              <w:rPr>
                <w:noProof/>
                <w:webHidden/>
              </w:rPr>
              <w:fldChar w:fldCharType="separate"/>
            </w:r>
            <w:r>
              <w:rPr>
                <w:noProof/>
                <w:webHidden/>
              </w:rPr>
              <w:t>9</w:t>
            </w:r>
            <w:r w:rsidR="004543B0">
              <w:rPr>
                <w:noProof/>
                <w:webHidden/>
              </w:rPr>
              <w:fldChar w:fldCharType="end"/>
            </w:r>
          </w:hyperlink>
        </w:p>
        <w:p w14:paraId="128C42A6" w14:textId="77777777" w:rsidR="004543B0" w:rsidRDefault="00714EED">
          <w:pPr>
            <w:pStyle w:val="TOC2"/>
            <w:tabs>
              <w:tab w:val="left" w:pos="880"/>
              <w:tab w:val="right" w:leader="dot" w:pos="9016"/>
            </w:tabs>
            <w:rPr>
              <w:rFonts w:eastAsiaTheme="minorEastAsia"/>
              <w:noProof/>
              <w:sz w:val="22"/>
              <w:szCs w:val="22"/>
              <w:lang w:eastAsia="en-AU"/>
            </w:rPr>
          </w:pPr>
          <w:hyperlink w:anchor="_Toc528576210" w:history="1">
            <w:r w:rsidR="004543B0" w:rsidRPr="00293E3A">
              <w:rPr>
                <w:rStyle w:val="Hyperlink"/>
                <w:noProof/>
              </w:rPr>
              <w:t>6.2.</w:t>
            </w:r>
            <w:r w:rsidR="004543B0">
              <w:rPr>
                <w:rFonts w:eastAsiaTheme="minorEastAsia"/>
                <w:noProof/>
                <w:sz w:val="22"/>
                <w:szCs w:val="22"/>
                <w:lang w:eastAsia="en-AU"/>
              </w:rPr>
              <w:tab/>
            </w:r>
            <w:r w:rsidR="004543B0" w:rsidRPr="00293E3A">
              <w:rPr>
                <w:rStyle w:val="Hyperlink"/>
                <w:noProof/>
              </w:rPr>
              <w:t>Proposal 4: Getting Advice and Support</w:t>
            </w:r>
            <w:r w:rsidR="004543B0">
              <w:rPr>
                <w:noProof/>
                <w:webHidden/>
              </w:rPr>
              <w:tab/>
            </w:r>
            <w:r w:rsidR="004543B0">
              <w:rPr>
                <w:noProof/>
                <w:webHidden/>
              </w:rPr>
              <w:fldChar w:fldCharType="begin"/>
            </w:r>
            <w:r w:rsidR="004543B0">
              <w:rPr>
                <w:noProof/>
                <w:webHidden/>
              </w:rPr>
              <w:instrText xml:space="preserve"> PAGEREF _Toc528576210 \h </w:instrText>
            </w:r>
            <w:r w:rsidR="004543B0">
              <w:rPr>
                <w:noProof/>
                <w:webHidden/>
              </w:rPr>
            </w:r>
            <w:r w:rsidR="004543B0">
              <w:rPr>
                <w:noProof/>
                <w:webHidden/>
              </w:rPr>
              <w:fldChar w:fldCharType="separate"/>
            </w:r>
            <w:r>
              <w:rPr>
                <w:noProof/>
                <w:webHidden/>
              </w:rPr>
              <w:t>11</w:t>
            </w:r>
            <w:r w:rsidR="004543B0">
              <w:rPr>
                <w:noProof/>
                <w:webHidden/>
              </w:rPr>
              <w:fldChar w:fldCharType="end"/>
            </w:r>
          </w:hyperlink>
        </w:p>
        <w:p w14:paraId="29E588FD" w14:textId="77777777" w:rsidR="004543B0" w:rsidRDefault="00714EED">
          <w:pPr>
            <w:pStyle w:val="TOC2"/>
            <w:tabs>
              <w:tab w:val="left" w:pos="880"/>
              <w:tab w:val="right" w:leader="dot" w:pos="9016"/>
            </w:tabs>
            <w:rPr>
              <w:rFonts w:eastAsiaTheme="minorEastAsia"/>
              <w:noProof/>
              <w:sz w:val="22"/>
              <w:szCs w:val="22"/>
              <w:lang w:eastAsia="en-AU"/>
            </w:rPr>
          </w:pPr>
          <w:hyperlink w:anchor="_Toc528576211" w:history="1">
            <w:r w:rsidR="004543B0" w:rsidRPr="00293E3A">
              <w:rPr>
                <w:rStyle w:val="Hyperlink"/>
                <w:noProof/>
              </w:rPr>
              <w:t>6.3.</w:t>
            </w:r>
            <w:r w:rsidR="004543B0">
              <w:rPr>
                <w:rFonts w:eastAsiaTheme="minorEastAsia"/>
                <w:noProof/>
                <w:sz w:val="22"/>
                <w:szCs w:val="22"/>
                <w:lang w:eastAsia="en-AU"/>
              </w:rPr>
              <w:tab/>
            </w:r>
            <w:r w:rsidR="004543B0" w:rsidRPr="00293E3A">
              <w:rPr>
                <w:rStyle w:val="Hyperlink"/>
                <w:noProof/>
              </w:rPr>
              <w:t>Proposal 6: Access</w:t>
            </w:r>
            <w:r w:rsidR="004543B0">
              <w:rPr>
                <w:noProof/>
                <w:webHidden/>
              </w:rPr>
              <w:tab/>
            </w:r>
            <w:r w:rsidR="004543B0">
              <w:rPr>
                <w:noProof/>
                <w:webHidden/>
              </w:rPr>
              <w:fldChar w:fldCharType="begin"/>
            </w:r>
            <w:r w:rsidR="004543B0">
              <w:rPr>
                <w:noProof/>
                <w:webHidden/>
              </w:rPr>
              <w:instrText xml:space="preserve"> PAGEREF _Toc528576211 \h </w:instrText>
            </w:r>
            <w:r w:rsidR="004543B0">
              <w:rPr>
                <w:noProof/>
                <w:webHidden/>
              </w:rPr>
            </w:r>
            <w:r w:rsidR="004543B0">
              <w:rPr>
                <w:noProof/>
                <w:webHidden/>
              </w:rPr>
              <w:fldChar w:fldCharType="separate"/>
            </w:r>
            <w:r>
              <w:rPr>
                <w:noProof/>
                <w:webHidden/>
              </w:rPr>
              <w:t>12</w:t>
            </w:r>
            <w:r w:rsidR="004543B0">
              <w:rPr>
                <w:noProof/>
                <w:webHidden/>
              </w:rPr>
              <w:fldChar w:fldCharType="end"/>
            </w:r>
          </w:hyperlink>
        </w:p>
        <w:p w14:paraId="65C50B9A" w14:textId="06229CD2" w:rsidR="004543B0" w:rsidRDefault="00714EED">
          <w:pPr>
            <w:pStyle w:val="TOC2"/>
            <w:tabs>
              <w:tab w:val="left" w:pos="880"/>
              <w:tab w:val="right" w:leader="dot" w:pos="9016"/>
            </w:tabs>
            <w:rPr>
              <w:rFonts w:eastAsiaTheme="minorEastAsia"/>
              <w:noProof/>
              <w:sz w:val="22"/>
              <w:szCs w:val="22"/>
              <w:lang w:eastAsia="en-AU"/>
            </w:rPr>
          </w:pPr>
          <w:hyperlink w:anchor="_Toc528576212" w:history="1">
            <w:r w:rsidR="004543B0" w:rsidRPr="00293E3A">
              <w:rPr>
                <w:rStyle w:val="Hyperlink"/>
                <w:noProof/>
              </w:rPr>
              <w:t>6.4.</w:t>
            </w:r>
            <w:r w:rsidR="004543B0">
              <w:rPr>
                <w:rFonts w:eastAsiaTheme="minorEastAsia"/>
                <w:noProof/>
                <w:sz w:val="22"/>
                <w:szCs w:val="22"/>
                <w:lang w:eastAsia="en-AU"/>
              </w:rPr>
              <w:tab/>
            </w:r>
            <w:r w:rsidR="004543B0" w:rsidRPr="00293E3A">
              <w:rPr>
                <w:rStyle w:val="Hyperlink"/>
                <w:noProof/>
              </w:rPr>
              <w:t>Proposal 8: Reducing harm</w:t>
            </w:r>
            <w:r w:rsidR="004543B0">
              <w:rPr>
                <w:noProof/>
                <w:webHidden/>
              </w:rPr>
              <w:tab/>
            </w:r>
            <w:r w:rsidR="004543B0">
              <w:rPr>
                <w:noProof/>
                <w:webHidden/>
              </w:rPr>
              <w:fldChar w:fldCharType="begin"/>
            </w:r>
            <w:r w:rsidR="004543B0">
              <w:rPr>
                <w:noProof/>
                <w:webHidden/>
              </w:rPr>
              <w:instrText xml:space="preserve"> PAGEREF _Toc528576212 \h </w:instrText>
            </w:r>
            <w:r w:rsidR="004543B0">
              <w:rPr>
                <w:noProof/>
                <w:webHidden/>
              </w:rPr>
            </w:r>
            <w:r w:rsidR="004543B0">
              <w:rPr>
                <w:noProof/>
                <w:webHidden/>
              </w:rPr>
              <w:fldChar w:fldCharType="separate"/>
            </w:r>
            <w:r>
              <w:rPr>
                <w:noProof/>
                <w:webHidden/>
              </w:rPr>
              <w:t>12</w:t>
            </w:r>
            <w:r w:rsidR="004543B0">
              <w:rPr>
                <w:noProof/>
                <w:webHidden/>
              </w:rPr>
              <w:fldChar w:fldCharType="end"/>
            </w:r>
          </w:hyperlink>
        </w:p>
        <w:p w14:paraId="535B0DE7" w14:textId="78E6CED8" w:rsidR="004543B0" w:rsidRDefault="00714EED">
          <w:pPr>
            <w:pStyle w:val="TOC2"/>
            <w:tabs>
              <w:tab w:val="left" w:pos="880"/>
              <w:tab w:val="right" w:leader="dot" w:pos="9016"/>
            </w:tabs>
            <w:rPr>
              <w:rFonts w:eastAsiaTheme="minorEastAsia"/>
              <w:noProof/>
              <w:sz w:val="22"/>
              <w:szCs w:val="22"/>
              <w:lang w:eastAsia="en-AU"/>
            </w:rPr>
          </w:pPr>
          <w:hyperlink w:anchor="_Toc528576213" w:history="1">
            <w:r w:rsidR="004543B0" w:rsidRPr="00293E3A">
              <w:rPr>
                <w:rStyle w:val="Hyperlink"/>
                <w:noProof/>
              </w:rPr>
              <w:t>6.5.</w:t>
            </w:r>
            <w:r w:rsidR="004543B0">
              <w:rPr>
                <w:rFonts w:eastAsiaTheme="minorEastAsia"/>
                <w:noProof/>
                <w:sz w:val="22"/>
                <w:szCs w:val="22"/>
                <w:lang w:eastAsia="en-AU"/>
              </w:rPr>
              <w:tab/>
            </w:r>
            <w:r w:rsidR="004543B0" w:rsidRPr="00293E3A">
              <w:rPr>
                <w:rStyle w:val="Hyperlink"/>
                <w:noProof/>
              </w:rPr>
              <w:t>Proposal 9: Supported decision making</w:t>
            </w:r>
            <w:r w:rsidR="004543B0">
              <w:rPr>
                <w:noProof/>
                <w:webHidden/>
              </w:rPr>
              <w:tab/>
            </w:r>
            <w:r w:rsidR="004543B0">
              <w:rPr>
                <w:noProof/>
                <w:webHidden/>
              </w:rPr>
              <w:fldChar w:fldCharType="begin"/>
            </w:r>
            <w:r w:rsidR="004543B0">
              <w:rPr>
                <w:noProof/>
                <w:webHidden/>
              </w:rPr>
              <w:instrText xml:space="preserve"> PAGEREF _Toc528576213 \h </w:instrText>
            </w:r>
            <w:r w:rsidR="004543B0">
              <w:rPr>
                <w:noProof/>
                <w:webHidden/>
              </w:rPr>
            </w:r>
            <w:r w:rsidR="004543B0">
              <w:rPr>
                <w:noProof/>
                <w:webHidden/>
              </w:rPr>
              <w:fldChar w:fldCharType="separate"/>
            </w:r>
            <w:r>
              <w:rPr>
                <w:noProof/>
                <w:webHidden/>
              </w:rPr>
              <w:t>15</w:t>
            </w:r>
            <w:r w:rsidR="004543B0">
              <w:rPr>
                <w:noProof/>
                <w:webHidden/>
              </w:rPr>
              <w:fldChar w:fldCharType="end"/>
            </w:r>
          </w:hyperlink>
        </w:p>
        <w:p w14:paraId="67313387" w14:textId="77777777" w:rsidR="004543B0" w:rsidRDefault="00714EED">
          <w:pPr>
            <w:pStyle w:val="TOC2"/>
            <w:tabs>
              <w:tab w:val="left" w:pos="880"/>
              <w:tab w:val="right" w:leader="dot" w:pos="9016"/>
            </w:tabs>
            <w:rPr>
              <w:rFonts w:eastAsiaTheme="minorEastAsia"/>
              <w:noProof/>
              <w:sz w:val="22"/>
              <w:szCs w:val="22"/>
              <w:lang w:eastAsia="en-AU"/>
            </w:rPr>
          </w:pPr>
          <w:hyperlink w:anchor="_Toc528576214" w:history="1">
            <w:r w:rsidR="004543B0" w:rsidRPr="00293E3A">
              <w:rPr>
                <w:rStyle w:val="Hyperlink"/>
                <w:noProof/>
              </w:rPr>
              <w:t>6.6.</w:t>
            </w:r>
            <w:r w:rsidR="004543B0">
              <w:rPr>
                <w:rFonts w:eastAsiaTheme="minorEastAsia"/>
                <w:noProof/>
                <w:sz w:val="22"/>
                <w:szCs w:val="22"/>
                <w:lang w:eastAsia="en-AU"/>
              </w:rPr>
              <w:tab/>
            </w:r>
            <w:r w:rsidR="004543B0" w:rsidRPr="00293E3A">
              <w:rPr>
                <w:rStyle w:val="Hyperlink"/>
                <w:noProof/>
              </w:rPr>
              <w:t>Proposal 9: The NDIS</w:t>
            </w:r>
            <w:r w:rsidR="004543B0">
              <w:rPr>
                <w:noProof/>
                <w:webHidden/>
              </w:rPr>
              <w:tab/>
            </w:r>
            <w:r w:rsidR="004543B0">
              <w:rPr>
                <w:noProof/>
                <w:webHidden/>
              </w:rPr>
              <w:fldChar w:fldCharType="begin"/>
            </w:r>
            <w:r w:rsidR="004543B0">
              <w:rPr>
                <w:noProof/>
                <w:webHidden/>
              </w:rPr>
              <w:instrText xml:space="preserve"> PAGEREF _Toc528576214 \h </w:instrText>
            </w:r>
            <w:r w:rsidR="004543B0">
              <w:rPr>
                <w:noProof/>
                <w:webHidden/>
              </w:rPr>
            </w:r>
            <w:r w:rsidR="004543B0">
              <w:rPr>
                <w:noProof/>
                <w:webHidden/>
              </w:rPr>
              <w:fldChar w:fldCharType="separate"/>
            </w:r>
            <w:r>
              <w:rPr>
                <w:noProof/>
                <w:webHidden/>
              </w:rPr>
              <w:t>17</w:t>
            </w:r>
            <w:r w:rsidR="004543B0">
              <w:rPr>
                <w:noProof/>
                <w:webHidden/>
              </w:rPr>
              <w:fldChar w:fldCharType="end"/>
            </w:r>
          </w:hyperlink>
        </w:p>
        <w:p w14:paraId="6592AF5D" w14:textId="499A3B44" w:rsidR="004543B0" w:rsidRDefault="00714EED">
          <w:pPr>
            <w:pStyle w:val="TOC2"/>
            <w:tabs>
              <w:tab w:val="left" w:pos="880"/>
              <w:tab w:val="right" w:leader="dot" w:pos="9016"/>
            </w:tabs>
            <w:rPr>
              <w:rFonts w:eastAsiaTheme="minorEastAsia"/>
              <w:noProof/>
              <w:sz w:val="22"/>
              <w:szCs w:val="22"/>
              <w:lang w:eastAsia="en-AU"/>
            </w:rPr>
          </w:pPr>
          <w:hyperlink w:anchor="_Toc528576215" w:history="1">
            <w:r w:rsidR="004543B0" w:rsidRPr="00293E3A">
              <w:rPr>
                <w:rStyle w:val="Hyperlink"/>
                <w:noProof/>
              </w:rPr>
              <w:t>6.7.</w:t>
            </w:r>
            <w:r w:rsidR="004543B0">
              <w:rPr>
                <w:rFonts w:eastAsiaTheme="minorEastAsia"/>
                <w:noProof/>
                <w:sz w:val="22"/>
                <w:szCs w:val="22"/>
                <w:lang w:eastAsia="en-AU"/>
              </w:rPr>
              <w:tab/>
            </w:r>
            <w:r w:rsidR="004543B0" w:rsidRPr="00293E3A">
              <w:rPr>
                <w:rStyle w:val="Hyperlink"/>
                <w:noProof/>
              </w:rPr>
              <w:t>Proposal 9: Forced sterilisation</w:t>
            </w:r>
            <w:r w:rsidR="004543B0">
              <w:rPr>
                <w:noProof/>
                <w:webHidden/>
              </w:rPr>
              <w:tab/>
            </w:r>
            <w:r w:rsidR="004543B0">
              <w:rPr>
                <w:noProof/>
                <w:webHidden/>
              </w:rPr>
              <w:fldChar w:fldCharType="begin"/>
            </w:r>
            <w:r w:rsidR="004543B0">
              <w:rPr>
                <w:noProof/>
                <w:webHidden/>
              </w:rPr>
              <w:instrText xml:space="preserve"> PAGEREF _Toc528576215 \h </w:instrText>
            </w:r>
            <w:r w:rsidR="004543B0">
              <w:rPr>
                <w:noProof/>
                <w:webHidden/>
              </w:rPr>
            </w:r>
            <w:r w:rsidR="004543B0">
              <w:rPr>
                <w:noProof/>
                <w:webHidden/>
              </w:rPr>
              <w:fldChar w:fldCharType="separate"/>
            </w:r>
            <w:r>
              <w:rPr>
                <w:noProof/>
                <w:webHidden/>
              </w:rPr>
              <w:t>18</w:t>
            </w:r>
            <w:r w:rsidR="004543B0">
              <w:rPr>
                <w:noProof/>
                <w:webHidden/>
              </w:rPr>
              <w:fldChar w:fldCharType="end"/>
            </w:r>
          </w:hyperlink>
        </w:p>
        <w:p w14:paraId="475E5D26" w14:textId="3CE070DA" w:rsidR="004543B0" w:rsidRDefault="00714EED">
          <w:pPr>
            <w:pStyle w:val="TOC2"/>
            <w:tabs>
              <w:tab w:val="left" w:pos="880"/>
              <w:tab w:val="right" w:leader="dot" w:pos="9016"/>
            </w:tabs>
            <w:rPr>
              <w:rFonts w:eastAsiaTheme="minorEastAsia"/>
              <w:noProof/>
              <w:sz w:val="22"/>
              <w:szCs w:val="22"/>
              <w:lang w:eastAsia="en-AU"/>
            </w:rPr>
          </w:pPr>
          <w:hyperlink w:anchor="_Toc528576216" w:history="1">
            <w:r w:rsidR="004543B0" w:rsidRPr="00293E3A">
              <w:rPr>
                <w:rStyle w:val="Hyperlink"/>
                <w:noProof/>
              </w:rPr>
              <w:t>6.8.</w:t>
            </w:r>
            <w:r w:rsidR="004543B0">
              <w:rPr>
                <w:rFonts w:eastAsiaTheme="minorEastAsia"/>
                <w:noProof/>
                <w:sz w:val="22"/>
                <w:szCs w:val="22"/>
                <w:lang w:eastAsia="en-AU"/>
              </w:rPr>
              <w:tab/>
            </w:r>
            <w:r w:rsidR="004543B0" w:rsidRPr="00293E3A">
              <w:rPr>
                <w:rStyle w:val="Hyperlink"/>
                <w:noProof/>
              </w:rPr>
              <w:t>Proposal 10: Parents living with disability</w:t>
            </w:r>
            <w:r w:rsidR="004543B0">
              <w:rPr>
                <w:noProof/>
                <w:webHidden/>
              </w:rPr>
              <w:tab/>
            </w:r>
            <w:r w:rsidR="004543B0">
              <w:rPr>
                <w:noProof/>
                <w:webHidden/>
              </w:rPr>
              <w:fldChar w:fldCharType="begin"/>
            </w:r>
            <w:r w:rsidR="004543B0">
              <w:rPr>
                <w:noProof/>
                <w:webHidden/>
              </w:rPr>
              <w:instrText xml:space="preserve"> PAGEREF _Toc528576216 \h </w:instrText>
            </w:r>
            <w:r w:rsidR="004543B0">
              <w:rPr>
                <w:noProof/>
                <w:webHidden/>
              </w:rPr>
            </w:r>
            <w:r w:rsidR="004543B0">
              <w:rPr>
                <w:noProof/>
                <w:webHidden/>
              </w:rPr>
              <w:fldChar w:fldCharType="separate"/>
            </w:r>
            <w:r>
              <w:rPr>
                <w:noProof/>
                <w:webHidden/>
              </w:rPr>
              <w:t>19</w:t>
            </w:r>
            <w:r w:rsidR="004543B0">
              <w:rPr>
                <w:noProof/>
                <w:webHidden/>
              </w:rPr>
              <w:fldChar w:fldCharType="end"/>
            </w:r>
          </w:hyperlink>
        </w:p>
        <w:p w14:paraId="0A2856E5" w14:textId="09562A2C" w:rsidR="004543B0" w:rsidRDefault="00714EED">
          <w:pPr>
            <w:pStyle w:val="TOC1"/>
            <w:tabs>
              <w:tab w:val="left" w:pos="440"/>
              <w:tab w:val="right" w:leader="dot" w:pos="9016"/>
            </w:tabs>
            <w:rPr>
              <w:rFonts w:eastAsiaTheme="minorEastAsia"/>
              <w:noProof/>
              <w:sz w:val="22"/>
              <w:szCs w:val="22"/>
              <w:lang w:eastAsia="en-AU"/>
            </w:rPr>
          </w:pPr>
          <w:hyperlink w:anchor="_Toc528576217" w:history="1">
            <w:r w:rsidR="004543B0" w:rsidRPr="00293E3A">
              <w:rPr>
                <w:rStyle w:val="Hyperlink"/>
                <w:noProof/>
              </w:rPr>
              <w:t>7.</w:t>
            </w:r>
            <w:r w:rsidR="004543B0">
              <w:rPr>
                <w:rFonts w:eastAsiaTheme="minorEastAsia"/>
                <w:noProof/>
                <w:sz w:val="22"/>
                <w:szCs w:val="22"/>
                <w:lang w:eastAsia="en-AU"/>
              </w:rPr>
              <w:tab/>
            </w:r>
            <w:r w:rsidR="004543B0" w:rsidRPr="00293E3A">
              <w:rPr>
                <w:rStyle w:val="Hyperlink"/>
                <w:noProof/>
              </w:rPr>
              <w:t>Conclusion</w:t>
            </w:r>
            <w:r w:rsidR="004543B0">
              <w:rPr>
                <w:noProof/>
                <w:webHidden/>
              </w:rPr>
              <w:tab/>
            </w:r>
            <w:r w:rsidR="004543B0">
              <w:rPr>
                <w:noProof/>
                <w:webHidden/>
              </w:rPr>
              <w:fldChar w:fldCharType="begin"/>
            </w:r>
            <w:r w:rsidR="004543B0">
              <w:rPr>
                <w:noProof/>
                <w:webHidden/>
              </w:rPr>
              <w:instrText xml:space="preserve"> PAGEREF _Toc528576217 \h </w:instrText>
            </w:r>
            <w:r w:rsidR="004543B0">
              <w:rPr>
                <w:noProof/>
                <w:webHidden/>
              </w:rPr>
            </w:r>
            <w:r w:rsidR="004543B0">
              <w:rPr>
                <w:noProof/>
                <w:webHidden/>
              </w:rPr>
              <w:fldChar w:fldCharType="separate"/>
            </w:r>
            <w:r>
              <w:rPr>
                <w:noProof/>
                <w:webHidden/>
              </w:rPr>
              <w:t>21</w:t>
            </w:r>
            <w:r w:rsidR="004543B0">
              <w:rPr>
                <w:noProof/>
                <w:webHidden/>
              </w:rPr>
              <w:fldChar w:fldCharType="end"/>
            </w:r>
          </w:hyperlink>
        </w:p>
        <w:p w14:paraId="489A4BBC" w14:textId="5E9890D9" w:rsidR="00887EE3" w:rsidRDefault="00887EE3" w:rsidP="00D003C5">
          <w:r w:rsidRPr="00451FB3">
            <w:rPr>
              <w:b/>
              <w:bCs/>
              <w:noProof/>
            </w:rPr>
            <w:fldChar w:fldCharType="end"/>
          </w:r>
        </w:p>
      </w:sdtContent>
    </w:sdt>
    <w:p w14:paraId="62583C25" w14:textId="77777777" w:rsidR="00C042A4" w:rsidRDefault="00C042A4" w:rsidP="00D003C5">
      <w:pPr>
        <w:rPr>
          <w:lang w:eastAsia="ja-JP"/>
        </w:rPr>
      </w:pPr>
    </w:p>
    <w:p w14:paraId="6E0830E7" w14:textId="77777777" w:rsidR="00555B04" w:rsidRPr="001673C9" w:rsidRDefault="00447E60" w:rsidP="00A85301">
      <w:pPr>
        <w:pStyle w:val="Heading1"/>
        <w:spacing w:after="160"/>
        <w:ind w:left="357" w:hanging="357"/>
      </w:pPr>
      <w:r>
        <w:br w:type="page"/>
      </w:r>
      <w:bookmarkStart w:id="1" w:name="_Toc528576202"/>
      <w:r w:rsidR="00555B04" w:rsidRPr="001673C9">
        <w:lastRenderedPageBreak/>
        <w:t>Summary</w:t>
      </w:r>
      <w:r w:rsidR="00C042A4">
        <w:t xml:space="preserve"> and recommendations</w:t>
      </w:r>
      <w:bookmarkEnd w:id="1"/>
    </w:p>
    <w:p w14:paraId="5EB85FF2" w14:textId="20695B1F" w:rsidR="00C81FCF" w:rsidRDefault="00ED2607" w:rsidP="009B3CBF">
      <w:pPr>
        <w:spacing w:after="160"/>
        <w:jc w:val="both"/>
        <w:rPr>
          <w:lang w:val="en-US"/>
        </w:rPr>
      </w:pPr>
      <w:r>
        <w:t xml:space="preserve">The Australian Law Reform Commission’s (ALRC) review of the </w:t>
      </w:r>
      <w:r w:rsidR="00C22AB1">
        <w:t>f</w:t>
      </w:r>
      <w:r>
        <w:t xml:space="preserve">amily </w:t>
      </w:r>
      <w:r w:rsidR="00C22AB1">
        <w:t>l</w:t>
      </w:r>
      <w:r>
        <w:t xml:space="preserve">aw </w:t>
      </w:r>
      <w:r w:rsidR="00C22AB1">
        <w:t>s</w:t>
      </w:r>
      <w:r>
        <w:t>ystem</w:t>
      </w:r>
      <w:r w:rsidDel="00ED2607">
        <w:t xml:space="preserve"> </w:t>
      </w:r>
      <w:r w:rsidR="00C81FCF">
        <w:rPr>
          <w:lang w:val="en-US"/>
        </w:rPr>
        <w:t xml:space="preserve">provides a valuable opportunity to explore ways for </w:t>
      </w:r>
      <w:r w:rsidR="00F90D21">
        <w:rPr>
          <w:lang w:val="en-US"/>
        </w:rPr>
        <w:t xml:space="preserve">adults </w:t>
      </w:r>
      <w:r w:rsidR="00C81FCF" w:rsidRPr="00EA2E59">
        <w:t>and children living with disability to shape reform</w:t>
      </w:r>
      <w:r w:rsidR="00CD40C8">
        <w:t>,</w:t>
      </w:r>
      <w:r w:rsidR="00EA2E59">
        <w:t xml:space="preserve"> to ensure</w:t>
      </w:r>
      <w:r w:rsidR="00F90D21">
        <w:t xml:space="preserve"> that</w:t>
      </w:r>
      <w:r w:rsidR="00EA2E59">
        <w:t xml:space="preserve"> the </w:t>
      </w:r>
      <w:r w:rsidR="00C22AB1">
        <w:t>f</w:t>
      </w:r>
      <w:r w:rsidR="00EA2E59">
        <w:t xml:space="preserve">amily </w:t>
      </w:r>
      <w:r w:rsidR="00C22AB1">
        <w:t>l</w:t>
      </w:r>
      <w:r w:rsidR="00EA2E59">
        <w:t xml:space="preserve">aw </w:t>
      </w:r>
      <w:r w:rsidR="00C22AB1">
        <w:t>s</w:t>
      </w:r>
      <w:r w:rsidR="00C81FCF" w:rsidRPr="00EA2E59">
        <w:t>ystem meets the contemporary needs of</w:t>
      </w:r>
      <w:r w:rsidR="00EA2E59">
        <w:t xml:space="preserve"> </w:t>
      </w:r>
      <w:r w:rsidR="00F90D21">
        <w:t>all</w:t>
      </w:r>
      <w:r w:rsidR="00F90D21" w:rsidRPr="00EA2E59">
        <w:t xml:space="preserve"> </w:t>
      </w:r>
      <w:r w:rsidR="00C81FCF" w:rsidRPr="00EA2E59">
        <w:t>families. A human rights</w:t>
      </w:r>
      <w:r w:rsidR="00F90D21">
        <w:t>-</w:t>
      </w:r>
      <w:r w:rsidR="00C81FCF" w:rsidRPr="00EA2E59">
        <w:t xml:space="preserve">based and inclusive </w:t>
      </w:r>
      <w:r w:rsidR="00C22AB1">
        <w:t>f</w:t>
      </w:r>
      <w:r w:rsidR="00C81FCF" w:rsidRPr="00EA2E59">
        <w:t xml:space="preserve">amily </w:t>
      </w:r>
      <w:r w:rsidR="00C22AB1">
        <w:t>l</w:t>
      </w:r>
      <w:r w:rsidR="00C81FCF" w:rsidRPr="00EA2E59">
        <w:t xml:space="preserve">aw </w:t>
      </w:r>
      <w:r w:rsidR="00C22AB1">
        <w:t>s</w:t>
      </w:r>
      <w:r w:rsidR="00C81FCF" w:rsidRPr="00EA2E59">
        <w:t>ystem has the potential to bring about social</w:t>
      </w:r>
      <w:r w:rsidR="00C81FCF">
        <w:rPr>
          <w:lang w:val="en-US"/>
        </w:rPr>
        <w:t>, health and economic benefits for individuals, their families and their wider communities.</w:t>
      </w:r>
    </w:p>
    <w:p w14:paraId="029C8BF3" w14:textId="04D98AA8" w:rsidR="00EA2E59" w:rsidRPr="00C81FCF" w:rsidRDefault="00EA2E59" w:rsidP="009B3CBF">
      <w:pPr>
        <w:spacing w:after="160"/>
        <w:jc w:val="both"/>
        <w:rPr>
          <w:rFonts w:ascii="Calibri" w:hAnsi="Calibri"/>
        </w:rPr>
      </w:pPr>
      <w:r>
        <w:t xml:space="preserve">In order to achieve such reform, this review must </w:t>
      </w:r>
      <w:r w:rsidR="00CD40C8">
        <w:t>ensure that any legislative changes comply with the U</w:t>
      </w:r>
      <w:r w:rsidR="00C22AB1">
        <w:t xml:space="preserve">nited Nations </w:t>
      </w:r>
      <w:r w:rsidR="00CD40C8">
        <w:t>Convention on the Rights of the Child</w:t>
      </w:r>
      <w:r w:rsidR="00C22AB1">
        <w:t xml:space="preserve"> (UNCRC)</w:t>
      </w:r>
      <w:r w:rsidR="00CD40C8">
        <w:t xml:space="preserve"> and the U</w:t>
      </w:r>
      <w:r w:rsidR="00C22AB1">
        <w:t xml:space="preserve">nited </w:t>
      </w:r>
      <w:r w:rsidR="00CD40C8">
        <w:t>N</w:t>
      </w:r>
      <w:r w:rsidR="00C22AB1">
        <w:t>ations</w:t>
      </w:r>
      <w:r w:rsidR="00CD40C8">
        <w:t xml:space="preserve"> Convention on the Rights of Persons with Disabilities </w:t>
      </w:r>
      <w:r w:rsidR="00C22AB1">
        <w:t xml:space="preserve">(UNCRPD) </w:t>
      </w:r>
      <w:r w:rsidR="00CD40C8">
        <w:t>as well as the National Disability Strategy.</w:t>
      </w:r>
    </w:p>
    <w:p w14:paraId="7EF922D7" w14:textId="4C71551F" w:rsidR="00C81FCF" w:rsidRPr="001B5FF5" w:rsidRDefault="00C81FCF" w:rsidP="009B3CBF">
      <w:pPr>
        <w:spacing w:after="160"/>
        <w:jc w:val="both"/>
      </w:pPr>
      <w:r w:rsidRPr="001B5FF5">
        <w:t>Policy-makers cannot identify the barriers to fulfilling children</w:t>
      </w:r>
      <w:r w:rsidR="00F90D21">
        <w:t>’</w:t>
      </w:r>
      <w:r w:rsidRPr="001B5FF5">
        <w:t>s and parents</w:t>
      </w:r>
      <w:r w:rsidR="00A939B7" w:rsidRPr="001B5FF5">
        <w:t>’</w:t>
      </w:r>
      <w:r w:rsidRPr="001B5FF5">
        <w:t xml:space="preserve"> rights if they do not hear from </w:t>
      </w:r>
      <w:r w:rsidR="00F90D21">
        <w:t>adults</w:t>
      </w:r>
      <w:r w:rsidR="00F90D21" w:rsidRPr="001B5FF5">
        <w:t xml:space="preserve"> </w:t>
      </w:r>
      <w:r w:rsidRPr="001B5FF5">
        <w:t>and children living with disability about their experience</w:t>
      </w:r>
      <w:r w:rsidR="00F90D21">
        <w:t>s</w:t>
      </w:r>
      <w:r w:rsidRPr="001B5FF5">
        <w:t xml:space="preserve"> with the </w:t>
      </w:r>
      <w:r w:rsidR="00C22AB1">
        <w:t>f</w:t>
      </w:r>
      <w:r w:rsidRPr="001B5FF5">
        <w:t xml:space="preserve">amily </w:t>
      </w:r>
      <w:r w:rsidR="00C22AB1">
        <w:t>l</w:t>
      </w:r>
      <w:r w:rsidRPr="001B5FF5">
        <w:t xml:space="preserve">aw </w:t>
      </w:r>
      <w:r w:rsidR="00C22AB1">
        <w:t>s</w:t>
      </w:r>
      <w:r w:rsidRPr="001B5FF5">
        <w:t>ystem and their ideas for change.</w:t>
      </w:r>
    </w:p>
    <w:p w14:paraId="0F1AF439" w14:textId="77777777" w:rsidR="00D77953" w:rsidRDefault="00C81FCF" w:rsidP="009B3CBF">
      <w:pPr>
        <w:spacing w:after="160"/>
        <w:jc w:val="both"/>
      </w:pPr>
      <w:r w:rsidRPr="001B5FF5">
        <w:t xml:space="preserve">In response to the </w:t>
      </w:r>
      <w:r w:rsidR="00F90D21">
        <w:t>ALRC’s</w:t>
      </w:r>
      <w:r w:rsidRPr="001B5FF5">
        <w:t xml:space="preserve"> </w:t>
      </w:r>
      <w:r w:rsidR="00F90D21">
        <w:t>d</w:t>
      </w:r>
      <w:r w:rsidRPr="001B5FF5">
        <w:t>iscussion paper (Oct</w:t>
      </w:r>
      <w:r w:rsidR="00F90D21">
        <w:t>ober</w:t>
      </w:r>
      <w:r w:rsidRPr="001B5FF5">
        <w:t xml:space="preserve"> 2018) we make the following recommendations:</w:t>
      </w:r>
    </w:p>
    <w:p w14:paraId="33FCE70F" w14:textId="77777777" w:rsidR="00D77953" w:rsidRDefault="00D77953" w:rsidP="009B3CBF">
      <w:pPr>
        <w:shd w:val="clear" w:color="auto" w:fill="D9D9D9" w:themeFill="background1" w:themeFillShade="D9"/>
        <w:jc w:val="both"/>
        <w:rPr>
          <w:b/>
          <w:color w:val="7030A0"/>
          <w:szCs w:val="22"/>
        </w:rPr>
      </w:pPr>
      <w:r w:rsidRPr="00ED559B">
        <w:rPr>
          <w:b/>
          <w:color w:val="7030A0"/>
          <w:szCs w:val="22"/>
        </w:rPr>
        <w:t>Recommendation</w:t>
      </w:r>
      <w:r>
        <w:rPr>
          <w:b/>
          <w:color w:val="7030A0"/>
          <w:szCs w:val="22"/>
        </w:rPr>
        <w:t xml:space="preserve"> 1</w:t>
      </w:r>
    </w:p>
    <w:p w14:paraId="0839056A" w14:textId="77777777" w:rsidR="00D77953" w:rsidRPr="00AB7F91" w:rsidRDefault="00D77953" w:rsidP="009B3CBF">
      <w:pPr>
        <w:shd w:val="clear" w:color="auto" w:fill="D9D9D9" w:themeFill="background1" w:themeFillShade="D9"/>
        <w:jc w:val="both"/>
        <w:rPr>
          <w:szCs w:val="22"/>
        </w:rPr>
      </w:pPr>
      <w:r>
        <w:rPr>
          <w:szCs w:val="22"/>
        </w:rPr>
        <w:t xml:space="preserve">Proposal 2-2 should be amended to include the statement that ‘the national education and awareness campaign about the family law system should be co-designed or co-produced with </w:t>
      </w:r>
      <w:r w:rsidRPr="00AF76A8">
        <w:rPr>
          <w:rFonts w:ascii="Calibri" w:hAnsi="Calibri"/>
        </w:rPr>
        <w:t>Aboriginal and Torres Strait Islander</w:t>
      </w:r>
      <w:r>
        <w:rPr>
          <w:rFonts w:ascii="Calibri" w:hAnsi="Calibri"/>
        </w:rPr>
        <w:t>s</w:t>
      </w:r>
      <w:r w:rsidRPr="00AF76A8">
        <w:rPr>
          <w:rFonts w:ascii="Calibri" w:hAnsi="Calibri"/>
        </w:rPr>
        <w:t xml:space="preserve">, </w:t>
      </w:r>
      <w:r>
        <w:rPr>
          <w:rFonts w:ascii="Calibri" w:hAnsi="Calibri"/>
        </w:rPr>
        <w:t xml:space="preserve">people from </w:t>
      </w:r>
      <w:r w:rsidRPr="00AF76A8">
        <w:rPr>
          <w:rFonts w:ascii="Calibri" w:hAnsi="Calibri"/>
        </w:rPr>
        <w:t>culturally and linguistically diverse</w:t>
      </w:r>
      <w:r>
        <w:rPr>
          <w:rFonts w:ascii="Calibri" w:hAnsi="Calibri"/>
        </w:rPr>
        <w:t xml:space="preserve"> backgrounds</w:t>
      </w:r>
      <w:r w:rsidRPr="00AF76A8">
        <w:rPr>
          <w:rFonts w:ascii="Calibri" w:hAnsi="Calibri"/>
        </w:rPr>
        <w:t xml:space="preserve">, </w:t>
      </w:r>
      <w:r>
        <w:rPr>
          <w:rFonts w:ascii="Calibri" w:hAnsi="Calibri"/>
        </w:rPr>
        <w:t xml:space="preserve">people from the </w:t>
      </w:r>
      <w:r w:rsidRPr="00AF76A8">
        <w:rPr>
          <w:rFonts w:ascii="Calibri" w:hAnsi="Calibri"/>
        </w:rPr>
        <w:t xml:space="preserve">LGBTIQ </w:t>
      </w:r>
      <w:r>
        <w:rPr>
          <w:rFonts w:ascii="Calibri" w:hAnsi="Calibri"/>
        </w:rPr>
        <w:t xml:space="preserve">community </w:t>
      </w:r>
      <w:r w:rsidRPr="00AF76A8">
        <w:rPr>
          <w:rFonts w:ascii="Calibri" w:hAnsi="Calibri"/>
        </w:rPr>
        <w:t>and</w:t>
      </w:r>
      <w:r>
        <w:rPr>
          <w:szCs w:val="22"/>
        </w:rPr>
        <w:t xml:space="preserve"> people living with disability and their families.’</w:t>
      </w:r>
    </w:p>
    <w:p w14:paraId="327A27D0" w14:textId="77777777" w:rsidR="00D77953" w:rsidRDefault="00D77953" w:rsidP="009B3CBF">
      <w:pPr>
        <w:jc w:val="both"/>
        <w:rPr>
          <w:szCs w:val="22"/>
        </w:rPr>
      </w:pPr>
    </w:p>
    <w:p w14:paraId="4B9810FB" w14:textId="77777777" w:rsidR="00D77953" w:rsidRPr="00C7629B" w:rsidRDefault="00D77953" w:rsidP="009B3CBF">
      <w:pPr>
        <w:jc w:val="both"/>
        <w:rPr>
          <w:rFonts w:cs="Helvetica"/>
          <w:color w:val="000000"/>
          <w:shd w:val="clear" w:color="auto" w:fill="FFFFFF"/>
        </w:rPr>
      </w:pPr>
      <w:r w:rsidRPr="00ED559B">
        <w:rPr>
          <w:szCs w:val="22"/>
        </w:rPr>
        <w:t xml:space="preserve"> </w:t>
      </w:r>
    </w:p>
    <w:p w14:paraId="23D03FAF" w14:textId="77777777" w:rsidR="00D77953" w:rsidRDefault="00D77953" w:rsidP="009B3CBF">
      <w:pPr>
        <w:shd w:val="clear" w:color="auto" w:fill="D9D9D9" w:themeFill="background1" w:themeFillShade="D9"/>
        <w:jc w:val="both"/>
        <w:rPr>
          <w:b/>
          <w:color w:val="7030A0"/>
          <w:szCs w:val="22"/>
        </w:rPr>
      </w:pPr>
      <w:r w:rsidRPr="00ED559B">
        <w:rPr>
          <w:b/>
          <w:color w:val="7030A0"/>
          <w:szCs w:val="22"/>
        </w:rPr>
        <w:t>Recommendation</w:t>
      </w:r>
      <w:r>
        <w:rPr>
          <w:b/>
          <w:color w:val="7030A0"/>
          <w:szCs w:val="22"/>
        </w:rPr>
        <w:t xml:space="preserve"> 2</w:t>
      </w:r>
    </w:p>
    <w:p w14:paraId="0727CF87" w14:textId="77777777" w:rsidR="00D77953" w:rsidRPr="00AB7F91" w:rsidRDefault="00D77953" w:rsidP="009B3CBF">
      <w:pPr>
        <w:shd w:val="clear" w:color="auto" w:fill="D9D9D9" w:themeFill="background1" w:themeFillShade="D9"/>
        <w:jc w:val="both"/>
        <w:rPr>
          <w:szCs w:val="22"/>
        </w:rPr>
      </w:pPr>
      <w:r>
        <w:rPr>
          <w:szCs w:val="22"/>
        </w:rPr>
        <w:t xml:space="preserve">The family law information package should </w:t>
      </w:r>
      <w:r>
        <w:t>include versions in Easy English as well as video and audio versions and be co-designed by people living with disability and their families.</w:t>
      </w:r>
    </w:p>
    <w:p w14:paraId="1F5F7655" w14:textId="1817E4BC" w:rsidR="008509AA" w:rsidRDefault="008509AA" w:rsidP="009B3CBF">
      <w:pPr>
        <w:spacing w:after="160"/>
        <w:jc w:val="both"/>
        <w:rPr>
          <w:szCs w:val="22"/>
        </w:rPr>
      </w:pPr>
    </w:p>
    <w:p w14:paraId="64B2ECAE" w14:textId="77777777" w:rsidR="000A5BAB" w:rsidRPr="00ED559B" w:rsidRDefault="000A5BAB" w:rsidP="009B3CBF">
      <w:pPr>
        <w:spacing w:after="160"/>
        <w:jc w:val="both"/>
        <w:rPr>
          <w:szCs w:val="22"/>
        </w:rPr>
      </w:pPr>
    </w:p>
    <w:p w14:paraId="477A8729" w14:textId="77777777" w:rsidR="00D77953" w:rsidRDefault="00D77953" w:rsidP="009B3CBF">
      <w:pPr>
        <w:shd w:val="clear" w:color="auto" w:fill="D9D9D9" w:themeFill="background1" w:themeFillShade="D9"/>
        <w:jc w:val="both"/>
        <w:rPr>
          <w:b/>
          <w:color w:val="7030A0"/>
          <w:szCs w:val="22"/>
        </w:rPr>
      </w:pPr>
      <w:r w:rsidRPr="00ED559B">
        <w:rPr>
          <w:b/>
          <w:color w:val="7030A0"/>
          <w:szCs w:val="22"/>
        </w:rPr>
        <w:lastRenderedPageBreak/>
        <w:t>Recommendation</w:t>
      </w:r>
      <w:r>
        <w:rPr>
          <w:b/>
          <w:color w:val="7030A0"/>
          <w:szCs w:val="22"/>
        </w:rPr>
        <w:t xml:space="preserve"> 3</w:t>
      </w:r>
    </w:p>
    <w:p w14:paraId="42A00BC2" w14:textId="227CDF60" w:rsidR="00D77953" w:rsidRPr="00ED559B" w:rsidRDefault="00D77953" w:rsidP="009B3CBF">
      <w:pPr>
        <w:shd w:val="clear" w:color="auto" w:fill="D9D9D9" w:themeFill="background1" w:themeFillShade="D9"/>
        <w:jc w:val="both"/>
        <w:rPr>
          <w:b/>
          <w:color w:val="7030A0"/>
          <w:szCs w:val="22"/>
        </w:rPr>
      </w:pPr>
      <w:r>
        <w:t xml:space="preserve">Ensure the </w:t>
      </w:r>
      <w:r w:rsidR="00CF4ED9">
        <w:t xml:space="preserve">Families </w:t>
      </w:r>
      <w:r>
        <w:t>hubs are co-designed with children and parents living with disability and in particular parents living with an intellectual disability and staffed by well-trained, competent workers so that the hubs are inclusive and accessible to all.</w:t>
      </w:r>
    </w:p>
    <w:p w14:paraId="557C18EE" w14:textId="77777777" w:rsidR="00D77953" w:rsidRDefault="00D77953" w:rsidP="009B3CBF">
      <w:pPr>
        <w:jc w:val="both"/>
      </w:pPr>
    </w:p>
    <w:p w14:paraId="5C368431" w14:textId="77777777" w:rsidR="00D77953" w:rsidRDefault="00D77953" w:rsidP="009B3CBF">
      <w:pPr>
        <w:jc w:val="both"/>
      </w:pPr>
    </w:p>
    <w:p w14:paraId="01795AE1" w14:textId="23FF8FF7" w:rsidR="00D77953" w:rsidRPr="008460C3" w:rsidRDefault="00D77953" w:rsidP="009B3CBF">
      <w:pPr>
        <w:shd w:val="clear" w:color="auto" w:fill="D9D9D9" w:themeFill="background1" w:themeFillShade="D9"/>
        <w:jc w:val="both"/>
        <w:rPr>
          <w:color w:val="7030A0"/>
          <w:szCs w:val="22"/>
        </w:rPr>
      </w:pPr>
      <w:r w:rsidRPr="00ED559B">
        <w:rPr>
          <w:b/>
          <w:color w:val="7030A0"/>
          <w:szCs w:val="22"/>
        </w:rPr>
        <w:t>Recommendation</w:t>
      </w:r>
      <w:r>
        <w:rPr>
          <w:b/>
          <w:color w:val="7030A0"/>
          <w:szCs w:val="22"/>
        </w:rPr>
        <w:t xml:space="preserve"> </w:t>
      </w:r>
      <w:r w:rsidR="007C3086">
        <w:rPr>
          <w:b/>
          <w:color w:val="7030A0"/>
          <w:szCs w:val="22"/>
        </w:rPr>
        <w:t>4</w:t>
      </w:r>
    </w:p>
    <w:p w14:paraId="27A00DB5" w14:textId="77777777" w:rsidR="00D77953" w:rsidRPr="00893D75" w:rsidRDefault="00D77953" w:rsidP="009B3CBF">
      <w:pPr>
        <w:shd w:val="clear" w:color="auto" w:fill="D9D9D9" w:themeFill="background1" w:themeFillShade="D9"/>
        <w:jc w:val="both"/>
        <w:rPr>
          <w:szCs w:val="22"/>
        </w:rPr>
      </w:pPr>
      <w:r w:rsidRPr="00893D75">
        <w:rPr>
          <w:szCs w:val="22"/>
        </w:rPr>
        <w:t xml:space="preserve">That proposal 8-2 </w:t>
      </w:r>
      <w:proofErr w:type="gramStart"/>
      <w:r w:rsidRPr="00893D75">
        <w:rPr>
          <w:szCs w:val="22"/>
        </w:rPr>
        <w:t>be</w:t>
      </w:r>
      <w:proofErr w:type="gramEnd"/>
      <w:r w:rsidRPr="00893D75">
        <w:rPr>
          <w:szCs w:val="22"/>
        </w:rPr>
        <w:t xml:space="preserve"> amended to include commissioned research into the needs and experiences of people living with disability, including children and young people, in relation to domestic and family violence and the family law system. </w:t>
      </w:r>
    </w:p>
    <w:p w14:paraId="423A936D" w14:textId="77777777" w:rsidR="00D77953" w:rsidRDefault="00D77953" w:rsidP="009B3CBF">
      <w:pPr>
        <w:jc w:val="both"/>
      </w:pPr>
    </w:p>
    <w:p w14:paraId="73443E79" w14:textId="77777777" w:rsidR="00AC0E96" w:rsidRDefault="00AC0E96" w:rsidP="009B3CBF">
      <w:pPr>
        <w:jc w:val="both"/>
        <w:rPr>
          <w:rFonts w:cs="Arial"/>
          <w:shd w:val="clear" w:color="auto" w:fill="FFFFFF"/>
        </w:rPr>
      </w:pPr>
    </w:p>
    <w:p w14:paraId="1C1DABD5" w14:textId="1E42B838" w:rsidR="00AC0E96" w:rsidRPr="00ED559B" w:rsidRDefault="00AC0E96" w:rsidP="009B3CBF">
      <w:pPr>
        <w:shd w:val="clear" w:color="auto" w:fill="D9D9D9" w:themeFill="background1" w:themeFillShade="D9"/>
        <w:jc w:val="both"/>
        <w:rPr>
          <w:b/>
          <w:color w:val="7030A0"/>
          <w:szCs w:val="22"/>
        </w:rPr>
      </w:pPr>
      <w:r w:rsidRPr="00ED559B">
        <w:rPr>
          <w:b/>
          <w:color w:val="7030A0"/>
          <w:szCs w:val="22"/>
        </w:rPr>
        <w:t>Recommendation</w:t>
      </w:r>
      <w:r>
        <w:rPr>
          <w:b/>
          <w:color w:val="7030A0"/>
          <w:szCs w:val="22"/>
        </w:rPr>
        <w:t xml:space="preserve"> </w:t>
      </w:r>
      <w:r w:rsidR="007C3086">
        <w:rPr>
          <w:b/>
          <w:color w:val="7030A0"/>
          <w:szCs w:val="22"/>
        </w:rPr>
        <w:t>5</w:t>
      </w:r>
    </w:p>
    <w:p w14:paraId="3955D83B" w14:textId="77777777" w:rsidR="00AC0E96" w:rsidRPr="0091184E" w:rsidRDefault="00AC0E96" w:rsidP="009B3CBF">
      <w:pPr>
        <w:shd w:val="clear" w:color="auto" w:fill="D9D9D9" w:themeFill="background1" w:themeFillShade="D9"/>
        <w:jc w:val="both"/>
      </w:pPr>
      <w:r>
        <w:rPr>
          <w:szCs w:val="22"/>
        </w:rPr>
        <w:t xml:space="preserve">Any supported decision making framework aligns with </w:t>
      </w:r>
      <w:r w:rsidRPr="0091184E">
        <w:t>the U</w:t>
      </w:r>
      <w:r>
        <w:t xml:space="preserve">nited </w:t>
      </w:r>
      <w:r w:rsidRPr="0091184E">
        <w:t>N</w:t>
      </w:r>
      <w:r>
        <w:t>ations</w:t>
      </w:r>
      <w:r w:rsidRPr="0091184E">
        <w:t xml:space="preserve"> Convention on the Rights of Persons with Disabilities and the National Disability Strategy</w:t>
      </w:r>
      <w:r>
        <w:t>, an</w:t>
      </w:r>
      <w:r w:rsidRPr="0091184E">
        <w:t>d p</w:t>
      </w:r>
      <w:r w:rsidRPr="00A37D31">
        <w:rPr>
          <w:rFonts w:eastAsia="Times New Roman" w:cs="Arial"/>
          <w:color w:val="111111"/>
          <w:lang w:eastAsia="en-AU"/>
        </w:rPr>
        <w:t xml:space="preserve">eople </w:t>
      </w:r>
      <w:r>
        <w:rPr>
          <w:rFonts w:eastAsia="Times New Roman" w:cs="Arial"/>
          <w:color w:val="111111"/>
          <w:lang w:eastAsia="en-AU"/>
        </w:rPr>
        <w:t xml:space="preserve">living </w:t>
      </w:r>
      <w:r w:rsidRPr="00A37D31">
        <w:rPr>
          <w:rFonts w:eastAsia="Times New Roman" w:cs="Arial"/>
          <w:color w:val="111111"/>
          <w:lang w:eastAsia="en-AU"/>
        </w:rPr>
        <w:t xml:space="preserve">with cognitive disability </w:t>
      </w:r>
      <w:r>
        <w:rPr>
          <w:rFonts w:eastAsia="Times New Roman" w:cs="Arial"/>
          <w:color w:val="111111"/>
          <w:lang w:eastAsia="en-AU"/>
        </w:rPr>
        <w:t>guide</w:t>
      </w:r>
      <w:r w:rsidRPr="00A37D31">
        <w:rPr>
          <w:rFonts w:eastAsia="Times New Roman" w:cs="Arial"/>
          <w:color w:val="111111"/>
          <w:lang w:eastAsia="en-AU"/>
        </w:rPr>
        <w:t xml:space="preserve"> the design and p</w:t>
      </w:r>
      <w:r>
        <w:rPr>
          <w:rFonts w:eastAsia="Times New Roman" w:cs="Arial"/>
          <w:color w:val="111111"/>
          <w:lang w:eastAsia="en-AU"/>
        </w:rPr>
        <w:t xml:space="preserve">ractice of research as well as </w:t>
      </w:r>
      <w:r w:rsidRPr="00A37D31">
        <w:rPr>
          <w:rFonts w:eastAsia="Times New Roman" w:cs="Arial"/>
          <w:color w:val="111111"/>
          <w:lang w:eastAsia="en-AU"/>
        </w:rPr>
        <w:t>the implementation of supported decision-making</w:t>
      </w:r>
      <w:r>
        <w:rPr>
          <w:rFonts w:eastAsia="Times New Roman" w:cs="Arial"/>
          <w:color w:val="111111"/>
          <w:lang w:eastAsia="en-AU"/>
        </w:rPr>
        <w:t>.</w:t>
      </w:r>
    </w:p>
    <w:p w14:paraId="3AF88B19" w14:textId="77777777" w:rsidR="000312B4" w:rsidRDefault="000312B4" w:rsidP="009B3CBF">
      <w:pPr>
        <w:jc w:val="both"/>
      </w:pPr>
    </w:p>
    <w:p w14:paraId="6CDC2D77" w14:textId="77777777" w:rsidR="00D77953" w:rsidRDefault="00D77953" w:rsidP="009B3CBF">
      <w:pPr>
        <w:jc w:val="both"/>
      </w:pPr>
    </w:p>
    <w:p w14:paraId="62DAAE0C" w14:textId="00A20CBF" w:rsidR="000312B4" w:rsidRDefault="000312B4" w:rsidP="009B3CBF">
      <w:pPr>
        <w:shd w:val="clear" w:color="auto" w:fill="D9D9D9" w:themeFill="background1" w:themeFillShade="D9"/>
        <w:jc w:val="both"/>
        <w:rPr>
          <w:b/>
          <w:color w:val="7030A0"/>
          <w:szCs w:val="22"/>
        </w:rPr>
      </w:pPr>
      <w:r w:rsidRPr="00ED559B">
        <w:rPr>
          <w:b/>
          <w:color w:val="7030A0"/>
          <w:szCs w:val="22"/>
        </w:rPr>
        <w:t>Recommendation</w:t>
      </w:r>
      <w:r w:rsidR="009C17BD">
        <w:rPr>
          <w:b/>
          <w:color w:val="7030A0"/>
          <w:szCs w:val="22"/>
        </w:rPr>
        <w:t xml:space="preserve"> </w:t>
      </w:r>
      <w:r w:rsidR="007C3086">
        <w:rPr>
          <w:b/>
          <w:color w:val="7030A0"/>
          <w:szCs w:val="22"/>
        </w:rPr>
        <w:t>6</w:t>
      </w:r>
    </w:p>
    <w:p w14:paraId="7E757F39" w14:textId="55C92DAF" w:rsidR="000312B4" w:rsidRPr="00ED559B" w:rsidRDefault="000312B4" w:rsidP="009B3CBF">
      <w:pPr>
        <w:shd w:val="clear" w:color="auto" w:fill="D9D9D9" w:themeFill="background1" w:themeFillShade="D9"/>
        <w:jc w:val="both"/>
        <w:rPr>
          <w:szCs w:val="22"/>
        </w:rPr>
      </w:pPr>
      <w:r>
        <w:rPr>
          <w:szCs w:val="22"/>
        </w:rPr>
        <w:t>A</w:t>
      </w:r>
      <w:r w:rsidRPr="00307A11">
        <w:rPr>
          <w:szCs w:val="22"/>
        </w:rPr>
        <w:t xml:space="preserve">ll levels of government need to take active steps through program design and implementation to ensure that mainstream services are inclusive of and adequately provide support to people living with disability. </w:t>
      </w:r>
      <w:r>
        <w:rPr>
          <w:szCs w:val="22"/>
        </w:rPr>
        <w:t>This is not the role of the N</w:t>
      </w:r>
      <w:r w:rsidR="00C22AB1">
        <w:rPr>
          <w:szCs w:val="22"/>
        </w:rPr>
        <w:t>ational Disability Insurance Scheme</w:t>
      </w:r>
      <w:r>
        <w:rPr>
          <w:szCs w:val="22"/>
        </w:rPr>
        <w:t>.</w:t>
      </w:r>
    </w:p>
    <w:p w14:paraId="3B6312F2" w14:textId="77777777" w:rsidR="000312B4" w:rsidRDefault="000312B4" w:rsidP="009B3CBF">
      <w:pPr>
        <w:jc w:val="both"/>
      </w:pPr>
    </w:p>
    <w:p w14:paraId="5F5183CA" w14:textId="77777777" w:rsidR="00767050" w:rsidRDefault="00767050" w:rsidP="009B3CBF">
      <w:pPr>
        <w:jc w:val="both"/>
      </w:pPr>
    </w:p>
    <w:p w14:paraId="7B77904F" w14:textId="63CFAB0A" w:rsidR="00A13308" w:rsidRPr="00A13308" w:rsidRDefault="009C17BD" w:rsidP="009B3CBF">
      <w:pPr>
        <w:shd w:val="clear" w:color="auto" w:fill="D9D9D9" w:themeFill="background1" w:themeFillShade="D9"/>
        <w:jc w:val="both"/>
        <w:rPr>
          <w:b/>
          <w:color w:val="7030A0"/>
        </w:rPr>
      </w:pPr>
      <w:r>
        <w:rPr>
          <w:b/>
          <w:color w:val="7030A0"/>
        </w:rPr>
        <w:t xml:space="preserve">Recommendation </w:t>
      </w:r>
      <w:r w:rsidR="007C3086">
        <w:rPr>
          <w:b/>
          <w:color w:val="7030A0"/>
        </w:rPr>
        <w:t>7</w:t>
      </w:r>
    </w:p>
    <w:p w14:paraId="1FBB9CB5" w14:textId="5EFE45DC" w:rsidR="00A13308" w:rsidRPr="00ED559B" w:rsidRDefault="00A13308" w:rsidP="009B3CBF">
      <w:pPr>
        <w:shd w:val="clear" w:color="auto" w:fill="D9D9D9" w:themeFill="background1" w:themeFillShade="D9"/>
        <w:jc w:val="both"/>
        <w:rPr>
          <w:b/>
          <w:color w:val="7030A0"/>
          <w:szCs w:val="22"/>
        </w:rPr>
      </w:pPr>
      <w:proofErr w:type="gramStart"/>
      <w:r w:rsidRPr="00463100">
        <w:t>That an additional legislative safeguard</w:t>
      </w:r>
      <w:r>
        <w:t xml:space="preserve"> be incorporated in</w:t>
      </w:r>
      <w:r w:rsidR="00F90D21">
        <w:t>to</w:t>
      </w:r>
      <w:r>
        <w:t xml:space="preserve"> the </w:t>
      </w:r>
      <w:r w:rsidRPr="008911BE">
        <w:rPr>
          <w:i/>
        </w:rPr>
        <w:t>Family Law Act</w:t>
      </w:r>
      <w:r w:rsidR="00F90D21">
        <w:rPr>
          <w:i/>
        </w:rPr>
        <w:t xml:space="preserve"> 1975 (</w:t>
      </w:r>
      <w:proofErr w:type="spellStart"/>
      <w:r w:rsidR="00F90D21">
        <w:rPr>
          <w:i/>
        </w:rPr>
        <w:t>Cth</w:t>
      </w:r>
      <w:proofErr w:type="spellEnd"/>
      <w:r w:rsidR="00F90D21">
        <w:rPr>
          <w:i/>
        </w:rPr>
        <w:t>)</w:t>
      </w:r>
      <w:r>
        <w:t xml:space="preserve"> that ‘prohibits the involuntary or forced sterilisation of girls unless there is a serious threat to life.’</w:t>
      </w:r>
      <w:proofErr w:type="gramEnd"/>
    </w:p>
    <w:p w14:paraId="120DA36B" w14:textId="77777777" w:rsidR="00D40697" w:rsidRDefault="00D40697" w:rsidP="009B3CBF">
      <w:pPr>
        <w:jc w:val="both"/>
      </w:pPr>
    </w:p>
    <w:p w14:paraId="5539D624" w14:textId="77777777" w:rsidR="00767050" w:rsidRDefault="00767050" w:rsidP="009B3CBF">
      <w:pPr>
        <w:jc w:val="both"/>
      </w:pPr>
    </w:p>
    <w:p w14:paraId="0EB0C8C3" w14:textId="30E18C8E" w:rsidR="002A0F91" w:rsidRDefault="002A0F91" w:rsidP="009B3CBF">
      <w:pPr>
        <w:shd w:val="clear" w:color="auto" w:fill="D9D9D9" w:themeFill="background1" w:themeFillShade="D9"/>
        <w:jc w:val="both"/>
        <w:rPr>
          <w:b/>
          <w:color w:val="7030A0"/>
          <w:szCs w:val="22"/>
        </w:rPr>
      </w:pPr>
      <w:r w:rsidRPr="00ED559B">
        <w:rPr>
          <w:b/>
          <w:color w:val="7030A0"/>
          <w:szCs w:val="22"/>
        </w:rPr>
        <w:lastRenderedPageBreak/>
        <w:t>Recommendation</w:t>
      </w:r>
      <w:r>
        <w:rPr>
          <w:b/>
          <w:color w:val="7030A0"/>
          <w:szCs w:val="22"/>
        </w:rPr>
        <w:t xml:space="preserve"> </w:t>
      </w:r>
      <w:r w:rsidR="007C3086">
        <w:rPr>
          <w:b/>
          <w:color w:val="7030A0"/>
          <w:szCs w:val="22"/>
        </w:rPr>
        <w:t>8</w:t>
      </w:r>
    </w:p>
    <w:p w14:paraId="2F12A926" w14:textId="5BCB04A1" w:rsidR="002A0F91" w:rsidRDefault="002A0F91" w:rsidP="009B3CBF">
      <w:pPr>
        <w:shd w:val="clear" w:color="auto" w:fill="D9D9D9" w:themeFill="background1" w:themeFillShade="D9"/>
        <w:jc w:val="both"/>
        <w:rPr>
          <w:b/>
          <w:color w:val="7030A0"/>
          <w:szCs w:val="22"/>
        </w:rPr>
      </w:pPr>
      <w:r>
        <w:t xml:space="preserve">The </w:t>
      </w:r>
      <w:r w:rsidRPr="008911BE">
        <w:rPr>
          <w:i/>
        </w:rPr>
        <w:t>Family Law Act</w:t>
      </w:r>
      <w:r w:rsidR="00F90D21" w:rsidRPr="008911BE">
        <w:rPr>
          <w:i/>
        </w:rPr>
        <w:t xml:space="preserve"> 1975 (</w:t>
      </w:r>
      <w:proofErr w:type="spellStart"/>
      <w:r w:rsidR="00F90D21" w:rsidRPr="008911BE">
        <w:rPr>
          <w:i/>
        </w:rPr>
        <w:t>Cth</w:t>
      </w:r>
      <w:proofErr w:type="spellEnd"/>
      <w:r w:rsidR="00F90D21" w:rsidRPr="008911BE">
        <w:rPr>
          <w:i/>
        </w:rPr>
        <w:t>)</w:t>
      </w:r>
      <w:r>
        <w:t xml:space="preserve"> should be amended to fully implement the provisions of the U</w:t>
      </w:r>
      <w:r w:rsidR="00C22AB1">
        <w:t>nited Nations</w:t>
      </w:r>
      <w:r>
        <w:t xml:space="preserve"> Convention on the Rights of Persons with Disabilities as it relates to parental rights.</w:t>
      </w:r>
    </w:p>
    <w:p w14:paraId="7C714350" w14:textId="77777777" w:rsidR="000312B4" w:rsidRDefault="000312B4" w:rsidP="009B3CBF">
      <w:pPr>
        <w:jc w:val="both"/>
      </w:pPr>
    </w:p>
    <w:p w14:paraId="4615A217" w14:textId="57D9F46F" w:rsidR="000312B4" w:rsidRDefault="000312B4" w:rsidP="009B3CBF">
      <w:pPr>
        <w:shd w:val="clear" w:color="auto" w:fill="D9D9D9" w:themeFill="background1" w:themeFillShade="D9"/>
        <w:jc w:val="both"/>
        <w:rPr>
          <w:b/>
          <w:color w:val="7030A0"/>
          <w:szCs w:val="22"/>
        </w:rPr>
      </w:pPr>
      <w:r w:rsidRPr="00ED559B">
        <w:rPr>
          <w:b/>
          <w:color w:val="7030A0"/>
          <w:szCs w:val="22"/>
        </w:rPr>
        <w:t>Recommendation</w:t>
      </w:r>
      <w:r w:rsidR="009C17BD">
        <w:rPr>
          <w:b/>
          <w:color w:val="7030A0"/>
          <w:szCs w:val="22"/>
        </w:rPr>
        <w:t xml:space="preserve"> </w:t>
      </w:r>
      <w:r w:rsidR="007C3086">
        <w:rPr>
          <w:b/>
          <w:color w:val="7030A0"/>
          <w:szCs w:val="22"/>
        </w:rPr>
        <w:t>9</w:t>
      </w:r>
    </w:p>
    <w:p w14:paraId="46F82F56" w14:textId="167D6A0F" w:rsidR="000312B4" w:rsidRPr="00307A11" w:rsidRDefault="000312B4" w:rsidP="009B3CBF">
      <w:pPr>
        <w:shd w:val="clear" w:color="auto" w:fill="D9D9D9" w:themeFill="background1" w:themeFillShade="D9"/>
        <w:jc w:val="both"/>
        <w:rPr>
          <w:szCs w:val="22"/>
        </w:rPr>
      </w:pPr>
      <w:r w:rsidRPr="00307A11">
        <w:rPr>
          <w:szCs w:val="22"/>
        </w:rPr>
        <w:t xml:space="preserve">That the ALRC proposes additional investment in peer support for parents who live with disability </w:t>
      </w:r>
      <w:r>
        <w:rPr>
          <w:szCs w:val="22"/>
        </w:rPr>
        <w:t>as a mechanism for building parenting capacity when and if needed.</w:t>
      </w:r>
    </w:p>
    <w:p w14:paraId="70E96D5E" w14:textId="77777777" w:rsidR="000312B4" w:rsidRDefault="000312B4" w:rsidP="009B3CBF">
      <w:pPr>
        <w:jc w:val="both"/>
      </w:pPr>
    </w:p>
    <w:p w14:paraId="66F0B81D" w14:textId="77777777" w:rsidR="00427F6F" w:rsidRPr="001673C9" w:rsidRDefault="00670BBA" w:rsidP="009B3CBF">
      <w:pPr>
        <w:pStyle w:val="Heading1"/>
        <w:spacing w:before="240" w:after="160"/>
        <w:ind w:left="357" w:hanging="357"/>
        <w:jc w:val="both"/>
      </w:pPr>
      <w:bookmarkStart w:id="2" w:name="_Toc528576204"/>
      <w:r w:rsidRPr="001673C9">
        <w:t>Introduction</w:t>
      </w:r>
      <w:bookmarkEnd w:id="2"/>
    </w:p>
    <w:p w14:paraId="3BD41CCF" w14:textId="4ECF3951" w:rsidR="00F8337B" w:rsidRDefault="00F8337B" w:rsidP="009B3CBF">
      <w:pPr>
        <w:spacing w:after="240"/>
        <w:jc w:val="both"/>
      </w:pPr>
      <w:r w:rsidRPr="008437CC">
        <w:t xml:space="preserve">JFA Purple Orange welcomes the opportunity to contribute to </w:t>
      </w:r>
      <w:r w:rsidR="00275E88">
        <w:t>the Australian Law Reform Comm</w:t>
      </w:r>
      <w:r w:rsidR="009C2DB9">
        <w:t>i</w:t>
      </w:r>
      <w:r w:rsidR="00275E88">
        <w:t>ssion’s</w:t>
      </w:r>
      <w:r w:rsidR="00A1410E">
        <w:t xml:space="preserve"> (ALRC)</w:t>
      </w:r>
      <w:r w:rsidR="00275E88">
        <w:t xml:space="preserve"> review of the </w:t>
      </w:r>
      <w:r w:rsidR="00C22AB1">
        <w:t>f</w:t>
      </w:r>
      <w:r w:rsidR="00275E88">
        <w:t xml:space="preserve">amily </w:t>
      </w:r>
      <w:r w:rsidR="00C22AB1">
        <w:t>l</w:t>
      </w:r>
      <w:r w:rsidR="00275E88">
        <w:t xml:space="preserve">aw </w:t>
      </w:r>
      <w:r w:rsidR="00C22AB1">
        <w:t>s</w:t>
      </w:r>
      <w:r w:rsidR="00275E88">
        <w:t>ystem.</w:t>
      </w:r>
      <w:r>
        <w:t xml:space="preserve"> </w:t>
      </w:r>
      <w:r w:rsidR="00275E88" w:rsidRPr="00C7629B">
        <w:t>Our submission includes commentary on some of the questions and proposals highlighted in the Discussion Paper</w:t>
      </w:r>
      <w:r w:rsidR="00275E88">
        <w:rPr>
          <w:sz w:val="23"/>
          <w:szCs w:val="23"/>
        </w:rPr>
        <w:t>.</w:t>
      </w:r>
    </w:p>
    <w:p w14:paraId="00EADD7A" w14:textId="77777777" w:rsidR="008460C3" w:rsidRPr="006B03A9" w:rsidRDefault="008460C3" w:rsidP="009B3CBF">
      <w:pPr>
        <w:spacing w:after="240"/>
        <w:jc w:val="both"/>
      </w:pPr>
      <w:r>
        <w:t>We are an independent, non-government organisation that fosters innovation, shares useful information, and promotes policy and practice that support and improve the life chances of people living with disability.</w:t>
      </w:r>
    </w:p>
    <w:p w14:paraId="61E1815B" w14:textId="2F7B9FF9" w:rsidR="00F8337B" w:rsidRDefault="00F8337B" w:rsidP="009B3CBF">
      <w:pPr>
        <w:spacing w:after="160"/>
        <w:jc w:val="both"/>
        <w:rPr>
          <w:rFonts w:cs="Calibri"/>
        </w:rPr>
      </w:pPr>
      <w:r>
        <w:t>JFA Purple Orange is not a service provider – we deliver research, evaluation and information services anchored upon the stories and experiences shared by people</w:t>
      </w:r>
      <w:r w:rsidR="00324FE2">
        <w:t xml:space="preserve"> living</w:t>
      </w:r>
      <w:r>
        <w:t xml:space="preserve"> with disability and others in their lives. </w:t>
      </w:r>
      <w:r>
        <w:rPr>
          <w:rFonts w:cs="Calibri"/>
        </w:rPr>
        <w:t>As such, we feel we are well-positioned to offer comment.</w:t>
      </w:r>
    </w:p>
    <w:p w14:paraId="232C5BFF" w14:textId="77777777" w:rsidR="00F8337B" w:rsidRDefault="00F8337B" w:rsidP="009B3CBF">
      <w:pPr>
        <w:pStyle w:val="Heading1"/>
        <w:autoSpaceDE/>
        <w:autoSpaceDN/>
        <w:adjustRightInd/>
        <w:spacing w:before="240" w:after="160"/>
        <w:ind w:left="720" w:hanging="720"/>
        <w:jc w:val="both"/>
      </w:pPr>
      <w:bookmarkStart w:id="3" w:name="_Toc475696766"/>
      <w:bookmarkStart w:id="4" w:name="_Toc481757281"/>
      <w:bookmarkStart w:id="5" w:name="_Toc528576205"/>
      <w:r>
        <w:t>About our</w:t>
      </w:r>
      <w:r w:rsidRPr="00BF2E43">
        <w:t xml:space="preserve"> </w:t>
      </w:r>
      <w:r>
        <w:t>v</w:t>
      </w:r>
      <w:r w:rsidRPr="00E910EA">
        <w:t>alues</w:t>
      </w:r>
      <w:bookmarkEnd w:id="3"/>
      <w:bookmarkEnd w:id="4"/>
      <w:bookmarkEnd w:id="5"/>
    </w:p>
    <w:p w14:paraId="77D21A9A" w14:textId="77777777" w:rsidR="00F8337B" w:rsidRDefault="00F8337B" w:rsidP="009B3CBF">
      <w:pPr>
        <w:jc w:val="both"/>
      </w:pPr>
      <w:r>
        <w:t>T</w:t>
      </w:r>
      <w:r w:rsidRPr="0076083E">
        <w:t xml:space="preserve">he work of JFA Purple Orange is anchored on the principles of </w:t>
      </w:r>
      <w:r w:rsidRPr="004B24FB">
        <w:rPr>
          <w:i/>
        </w:rPr>
        <w:t>Personhood</w:t>
      </w:r>
      <w:r w:rsidRPr="0076083E">
        <w:t xml:space="preserve"> and </w:t>
      </w:r>
      <w:proofErr w:type="spellStart"/>
      <w:r w:rsidRPr="004B24FB">
        <w:rPr>
          <w:i/>
        </w:rPr>
        <w:t>Citizenhood</w:t>
      </w:r>
      <w:proofErr w:type="spellEnd"/>
      <w:r>
        <w:t>.</w:t>
      </w:r>
    </w:p>
    <w:p w14:paraId="52538566" w14:textId="77777777" w:rsidR="00F8337B" w:rsidRPr="0076083E" w:rsidRDefault="00F8337B" w:rsidP="009B3CBF">
      <w:pPr>
        <w:spacing w:after="240"/>
        <w:jc w:val="both"/>
      </w:pPr>
      <w:r w:rsidRPr="0076083E">
        <w:t xml:space="preserve">As set out in our Model of </w:t>
      </w:r>
      <w:proofErr w:type="spellStart"/>
      <w:r w:rsidRPr="0076083E">
        <w:t>Citizenhood</w:t>
      </w:r>
      <w:proofErr w:type="spellEnd"/>
      <w:r w:rsidRPr="0076083E">
        <w:t xml:space="preserve"> Support</w:t>
      </w:r>
      <w:r w:rsidRPr="0076083E">
        <w:rPr>
          <w:vertAlign w:val="superscript"/>
        </w:rPr>
        <w:footnoteReference w:id="1"/>
      </w:r>
      <w:r w:rsidRPr="0076083E">
        <w:t xml:space="preserve">, a good life is characterised by such valued roles (termed </w:t>
      </w:r>
      <w:proofErr w:type="spellStart"/>
      <w:r w:rsidRPr="006B03A9">
        <w:t>Citizenhood</w:t>
      </w:r>
      <w:proofErr w:type="spellEnd"/>
      <w:r w:rsidRPr="0076083E">
        <w:t xml:space="preserve">) and by the decisions we make (termed </w:t>
      </w:r>
      <w:r w:rsidRPr="005C3F3E">
        <w:rPr>
          <w:i/>
        </w:rPr>
        <w:t>Personhood</w:t>
      </w:r>
      <w:r w:rsidRPr="0076083E">
        <w:t>). A good life largely depends on the availability of life chances – the assets and opportunities available to a person.</w:t>
      </w:r>
    </w:p>
    <w:p w14:paraId="693172D8" w14:textId="77777777" w:rsidR="00F8337B" w:rsidRDefault="00F8337B" w:rsidP="009B3CBF">
      <w:pPr>
        <w:spacing w:after="240"/>
        <w:jc w:val="both"/>
      </w:pPr>
      <w:r w:rsidRPr="0076083E">
        <w:lastRenderedPageBreak/>
        <w:t xml:space="preserve">Unlike </w:t>
      </w:r>
      <w:r>
        <w:t xml:space="preserve">formal </w:t>
      </w:r>
      <w:r w:rsidRPr="0076083E">
        <w:t>citizenship</w:t>
      </w:r>
      <w:r>
        <w:t xml:space="preserve"> of a country, </w:t>
      </w:r>
      <w:proofErr w:type="spellStart"/>
      <w:r w:rsidRPr="0076083E">
        <w:t>Citizenhood</w:t>
      </w:r>
      <w:proofErr w:type="spellEnd"/>
      <w:r w:rsidRPr="0076083E">
        <w:t xml:space="preserve"> is a dynamic experience: it can rise and fall depending on a person’s circumstances. The extent to which any person can naturally take up Personhood and </w:t>
      </w:r>
      <w:proofErr w:type="spellStart"/>
      <w:r w:rsidRPr="0076083E">
        <w:t>Citizenhood</w:t>
      </w:r>
      <w:proofErr w:type="spellEnd"/>
      <w:r w:rsidRPr="0076083E">
        <w:t xml:space="preserve"> is influenced by the presence of circumstances that can adversely impact on the person's capacity to build authorship of their own lives and to take up valued roles in community life and the economy. </w:t>
      </w:r>
    </w:p>
    <w:p w14:paraId="290FABAD" w14:textId="77777777" w:rsidR="00CB5E47" w:rsidRDefault="00CB5E47" w:rsidP="009B3CBF">
      <w:pPr>
        <w:spacing w:after="160"/>
        <w:jc w:val="both"/>
      </w:pPr>
      <w:r w:rsidRPr="00CB5E47">
        <w:t xml:space="preserve">The </w:t>
      </w:r>
      <w:r w:rsidR="006E39FD">
        <w:t>m</w:t>
      </w:r>
      <w:r w:rsidRPr="00CB5E47">
        <w:t xml:space="preserve">odel can be used to consider how best to shape an investment in a person’s life chances, and what types of return on that investment one might then look for.  </w:t>
      </w:r>
    </w:p>
    <w:p w14:paraId="5939D234" w14:textId="77777777" w:rsidR="004041F1" w:rsidRDefault="004041F1" w:rsidP="009B3CBF">
      <w:pPr>
        <w:pStyle w:val="Heading1"/>
        <w:autoSpaceDE/>
        <w:autoSpaceDN/>
        <w:adjustRightInd/>
        <w:spacing w:before="240" w:after="160"/>
        <w:ind w:left="720" w:hanging="720"/>
        <w:jc w:val="both"/>
      </w:pPr>
      <w:bookmarkStart w:id="6" w:name="_Toc528576206"/>
      <w:r>
        <w:t>Background</w:t>
      </w:r>
      <w:bookmarkEnd w:id="6"/>
    </w:p>
    <w:p w14:paraId="71A9487C" w14:textId="153BEE15" w:rsidR="00B43945" w:rsidRPr="00B43945" w:rsidRDefault="00275E88" w:rsidP="009B3CBF">
      <w:pPr>
        <w:spacing w:after="160"/>
        <w:jc w:val="both"/>
      </w:pPr>
      <w:r w:rsidRPr="00B43945">
        <w:t xml:space="preserve">JFA Purple Orange </w:t>
      </w:r>
      <w:r w:rsidR="00B43945">
        <w:t xml:space="preserve">supports </w:t>
      </w:r>
      <w:r w:rsidRPr="00B43945">
        <w:t xml:space="preserve">the </w:t>
      </w:r>
      <w:r w:rsidR="005C0BB5">
        <w:t>ALRC</w:t>
      </w:r>
      <w:r w:rsidR="00C22AB1">
        <w:t>’s</w:t>
      </w:r>
      <w:r w:rsidR="005C0BB5">
        <w:t xml:space="preserve"> </w:t>
      </w:r>
      <w:r w:rsidRPr="00B43945">
        <w:t xml:space="preserve">commitment to </w:t>
      </w:r>
      <w:r w:rsidR="00B43945" w:rsidRPr="00B43945">
        <w:t xml:space="preserve">comprehensive change in the </w:t>
      </w:r>
      <w:r w:rsidR="00C22AB1">
        <w:t>f</w:t>
      </w:r>
      <w:r w:rsidR="00B43945" w:rsidRPr="00B43945">
        <w:t xml:space="preserve">amily </w:t>
      </w:r>
      <w:r w:rsidR="00C22AB1">
        <w:t>l</w:t>
      </w:r>
      <w:r w:rsidR="00B43945" w:rsidRPr="00B43945">
        <w:t xml:space="preserve">aw </w:t>
      </w:r>
      <w:r w:rsidR="00C22AB1">
        <w:t>s</w:t>
      </w:r>
      <w:r w:rsidR="00B43945" w:rsidRPr="00B43945">
        <w:t xml:space="preserve">ystem so that </w:t>
      </w:r>
      <w:r w:rsidR="00C01A7A">
        <w:t>it focuses on</w:t>
      </w:r>
      <w:r w:rsidR="00B43945">
        <w:t xml:space="preserve"> the rights and </w:t>
      </w:r>
      <w:r w:rsidR="009C2DB9">
        <w:t>s</w:t>
      </w:r>
      <w:r w:rsidR="00B43945" w:rsidRPr="00B43945">
        <w:t xml:space="preserve">upport </w:t>
      </w:r>
      <w:r w:rsidR="00B43945">
        <w:t>of all</w:t>
      </w:r>
      <w:r w:rsidR="00B43945" w:rsidRPr="00B43945">
        <w:t xml:space="preserve"> children.</w:t>
      </w:r>
      <w:r w:rsidR="00B43945">
        <w:t xml:space="preserve">  T</w:t>
      </w:r>
      <w:r w:rsidR="008460C3">
        <w:t>he</w:t>
      </w:r>
      <w:r w:rsidR="00B43945">
        <w:t xml:space="preserve"> human rights </w:t>
      </w:r>
      <w:r w:rsidR="000A4A1B">
        <w:t xml:space="preserve">of children are </w:t>
      </w:r>
      <w:r w:rsidR="00B43945">
        <w:t>enshrined in the U</w:t>
      </w:r>
      <w:r w:rsidR="005C0BB5">
        <w:t>nited Nation</w:t>
      </w:r>
      <w:r w:rsidR="00C22AB1">
        <w:t>s</w:t>
      </w:r>
      <w:r w:rsidR="00B43945">
        <w:t xml:space="preserve"> Convention on the Rights of the Child</w:t>
      </w:r>
      <w:r w:rsidR="00087506">
        <w:t xml:space="preserve"> (UNCRC)</w:t>
      </w:r>
      <w:r w:rsidR="00087506">
        <w:rPr>
          <w:rStyle w:val="FootnoteReference"/>
        </w:rPr>
        <w:footnoteReference w:id="2"/>
      </w:r>
      <w:r w:rsidR="009C2DB9">
        <w:t xml:space="preserve"> which, in particular, gives children </w:t>
      </w:r>
      <w:r w:rsidR="00C01A7A">
        <w:t xml:space="preserve">the right </w:t>
      </w:r>
      <w:r w:rsidR="009C2DB9">
        <w:t>to participate in any process that affects their own life.</w:t>
      </w:r>
    </w:p>
    <w:p w14:paraId="064EC352" w14:textId="0B0631BC" w:rsidR="00B43945" w:rsidRDefault="009C2DB9" w:rsidP="009B3CBF">
      <w:pPr>
        <w:spacing w:after="160"/>
        <w:jc w:val="both"/>
      </w:pPr>
      <w:r>
        <w:t xml:space="preserve">Article 12 of the </w:t>
      </w:r>
      <w:r w:rsidR="005C0BB5">
        <w:t>UNCRC</w:t>
      </w:r>
      <w:r>
        <w:t xml:space="preserve"> states that a child has the right to form his or her own views and the right to express those views freely in all matters affecting the child, the views of the child being given due weight in accordance </w:t>
      </w:r>
      <w:r w:rsidR="00087506">
        <w:t>with the age and maturity of the child.</w:t>
      </w:r>
    </w:p>
    <w:p w14:paraId="16A7E773" w14:textId="4A44C885" w:rsidR="00087506" w:rsidRDefault="00087506" w:rsidP="009B3CBF">
      <w:pPr>
        <w:spacing w:after="160"/>
        <w:jc w:val="both"/>
      </w:pPr>
      <w:r>
        <w:t>We endorse measures which improve the understanding of the family law system</w:t>
      </w:r>
      <w:r w:rsidR="000A2EEF">
        <w:t>,</w:t>
      </w:r>
      <w:r>
        <w:t xml:space="preserve"> particularly for families where a member lives with a disability, and </w:t>
      </w:r>
      <w:r w:rsidR="00DA5980">
        <w:t xml:space="preserve">provide </w:t>
      </w:r>
      <w:r>
        <w:t>an acces</w:t>
      </w:r>
      <w:r w:rsidR="00A37D31">
        <w:t>sible and coordinated framework.</w:t>
      </w:r>
    </w:p>
    <w:p w14:paraId="4266E545" w14:textId="4C34A19C" w:rsidR="00B952D4" w:rsidRDefault="00B952D4" w:rsidP="009B3CBF">
      <w:pPr>
        <w:spacing w:after="160"/>
        <w:jc w:val="both"/>
      </w:pPr>
      <w:r>
        <w:t xml:space="preserve">We note that the Australian Government references the ALRC Family Law Review in its </w:t>
      </w:r>
      <w:r w:rsidR="00C7629B">
        <w:t>C</w:t>
      </w:r>
      <w:r w:rsidR="00C7629B" w:rsidRPr="00C7629B">
        <w:t xml:space="preserve">ombined Second and Third Periodic Report under the </w:t>
      </w:r>
      <w:r w:rsidR="00FD7321">
        <w:t xml:space="preserve">United Nations </w:t>
      </w:r>
      <w:r w:rsidR="00C7629B" w:rsidRPr="00C7629B">
        <w:t>Convention on the Rights of Persons with Disabilities</w:t>
      </w:r>
      <w:r w:rsidR="008460C3">
        <w:t xml:space="preserve"> (UNRPD)</w:t>
      </w:r>
      <w:r>
        <w:t xml:space="preserve">, detailing how it is implementing the UN Convention. </w:t>
      </w:r>
      <w:r w:rsidR="00FD7321">
        <w:t>The report notes that a key issue for consideration in the review of the family law system is</w:t>
      </w:r>
      <w:r>
        <w:t xml:space="preserve"> how decision-makers can be most effectively informed of the best interests of </w:t>
      </w:r>
      <w:r>
        <w:lastRenderedPageBreak/>
        <w:t>children and the views of children in family disputes</w:t>
      </w:r>
      <w:r w:rsidR="00FD7321">
        <w:t>, including</w:t>
      </w:r>
      <w:r>
        <w:t xml:space="preserve"> how to improve court accessibility and engagement for children living with disability.</w:t>
      </w:r>
      <w:r w:rsidR="00A1410E">
        <w:rPr>
          <w:rStyle w:val="FootnoteReference"/>
        </w:rPr>
        <w:footnoteReference w:id="3"/>
      </w:r>
    </w:p>
    <w:p w14:paraId="00764E47" w14:textId="47E03660" w:rsidR="00E559C7" w:rsidRDefault="00087506" w:rsidP="009B3CBF">
      <w:pPr>
        <w:spacing w:after="120"/>
        <w:jc w:val="both"/>
      </w:pPr>
      <w:r>
        <w:t xml:space="preserve">We take the opportunity to </w:t>
      </w:r>
      <w:r w:rsidR="00FD7321">
        <w:t>draw your attention to</w:t>
      </w:r>
      <w:r w:rsidR="008911BE">
        <w:t xml:space="preserve"> </w:t>
      </w:r>
      <w:r w:rsidR="00F503F2">
        <w:t xml:space="preserve">the key messages of the </w:t>
      </w:r>
      <w:r w:rsidR="00F503F2" w:rsidRPr="00165235">
        <w:rPr>
          <w:i/>
        </w:rPr>
        <w:t>S</w:t>
      </w:r>
      <w:r w:rsidR="00573D98">
        <w:rPr>
          <w:i/>
        </w:rPr>
        <w:t>outh Australian</w:t>
      </w:r>
      <w:r w:rsidR="00F503F2" w:rsidRPr="00165235">
        <w:rPr>
          <w:i/>
        </w:rPr>
        <w:t xml:space="preserve"> Commissioner for Children and Young People: Report on Children and Young People in the Family Law System August 2018</w:t>
      </w:r>
      <w:r>
        <w:t>.</w:t>
      </w:r>
      <w:r>
        <w:rPr>
          <w:rStyle w:val="FootnoteReference"/>
        </w:rPr>
        <w:footnoteReference w:id="4"/>
      </w:r>
      <w:r w:rsidR="00E559C7">
        <w:t xml:space="preserve"> </w:t>
      </w:r>
      <w:r w:rsidR="00D24659">
        <w:t xml:space="preserve">These key messages provide good practical guidance for supporting children </w:t>
      </w:r>
      <w:r w:rsidR="00EF4E2F">
        <w:t xml:space="preserve">and young people </w:t>
      </w:r>
      <w:r w:rsidR="00D24659">
        <w:t>in the family law system.</w:t>
      </w:r>
      <w:r w:rsidR="008911BE">
        <w:t xml:space="preserve"> This reports states that children and young people want:</w:t>
      </w:r>
    </w:p>
    <w:p w14:paraId="1422073B" w14:textId="1B0FE132" w:rsidR="00E83450" w:rsidRDefault="00E83450" w:rsidP="009B3CBF">
      <w:pPr>
        <w:spacing w:after="120"/>
        <w:ind w:firstLine="360"/>
        <w:jc w:val="both"/>
      </w:pPr>
      <w:r>
        <w:t xml:space="preserve">1. More information and much sooner. </w:t>
      </w:r>
    </w:p>
    <w:p w14:paraId="4C3BD37D" w14:textId="77777777" w:rsidR="00E83450" w:rsidRDefault="00E83450" w:rsidP="009B3CBF">
      <w:pPr>
        <w:spacing w:after="120"/>
        <w:ind w:left="360"/>
        <w:jc w:val="both"/>
      </w:pPr>
      <w:r>
        <w:t xml:space="preserve">2. The opportunity to choose the extent to which they are involved in the process and the opportunity to attend court. </w:t>
      </w:r>
    </w:p>
    <w:p w14:paraId="1770404E" w14:textId="77777777" w:rsidR="00E83450" w:rsidRDefault="00E83450" w:rsidP="009B3CBF">
      <w:pPr>
        <w:spacing w:after="120"/>
        <w:ind w:left="360"/>
        <w:jc w:val="both"/>
      </w:pPr>
      <w:r>
        <w:t xml:space="preserve">3. Access to clear and easily understandable information on the Family Law process and the adults involved in the process </w:t>
      </w:r>
    </w:p>
    <w:p w14:paraId="1AA5D702" w14:textId="77777777" w:rsidR="00E83450" w:rsidRDefault="00E83450" w:rsidP="009B3CBF">
      <w:pPr>
        <w:spacing w:after="120"/>
        <w:ind w:left="360"/>
        <w:jc w:val="both"/>
      </w:pPr>
      <w:r>
        <w:t xml:space="preserve">4. People in the system to be kind, listen and believe what they say. </w:t>
      </w:r>
    </w:p>
    <w:p w14:paraId="25D4BC7D" w14:textId="77777777" w:rsidR="00E83450" w:rsidRDefault="00E83450" w:rsidP="009B3CBF">
      <w:pPr>
        <w:spacing w:after="120"/>
        <w:ind w:left="360"/>
        <w:jc w:val="both"/>
      </w:pPr>
      <w:r>
        <w:t xml:space="preserve">5. Someone who is there just for them, from the start. </w:t>
      </w:r>
    </w:p>
    <w:p w14:paraId="2BDA6D6D" w14:textId="77777777" w:rsidR="00E83450" w:rsidRDefault="00E83450" w:rsidP="009B3CBF">
      <w:pPr>
        <w:spacing w:after="120"/>
        <w:ind w:left="360"/>
        <w:jc w:val="both"/>
      </w:pPr>
      <w:r>
        <w:t xml:space="preserve">6. Adults to recognise that siblings are not the same and might need different arrangements. </w:t>
      </w:r>
    </w:p>
    <w:p w14:paraId="1FAA314D" w14:textId="75A4AA76" w:rsidR="00E83450" w:rsidRDefault="00E83450" w:rsidP="009B3CBF">
      <w:pPr>
        <w:spacing w:after="120"/>
        <w:ind w:left="360"/>
        <w:jc w:val="both"/>
      </w:pPr>
      <w:r>
        <w:t>7. The opportunity to have decisions reviewed, to monitor outcomes when circumstances changed.</w:t>
      </w:r>
    </w:p>
    <w:p w14:paraId="49BB28B2" w14:textId="77777777" w:rsidR="00E83450" w:rsidRDefault="00E83450" w:rsidP="009B3CBF">
      <w:pPr>
        <w:spacing w:after="120"/>
        <w:ind w:left="360"/>
        <w:jc w:val="both"/>
      </w:pPr>
    </w:p>
    <w:p w14:paraId="55A5B4D6" w14:textId="77777777" w:rsidR="00E559C7" w:rsidRDefault="00E559C7" w:rsidP="009B3CBF">
      <w:pPr>
        <w:pStyle w:val="Heading1"/>
        <w:jc w:val="both"/>
      </w:pPr>
      <w:bookmarkStart w:id="7" w:name="_Toc528576207"/>
      <w:r>
        <w:t>Our approach to this submission</w:t>
      </w:r>
      <w:bookmarkEnd w:id="7"/>
    </w:p>
    <w:p w14:paraId="511754AD" w14:textId="77777777" w:rsidR="00E559C7" w:rsidRPr="00E559C7" w:rsidRDefault="00E559C7" w:rsidP="009B3CBF">
      <w:pPr>
        <w:jc w:val="both"/>
      </w:pPr>
    </w:p>
    <w:p w14:paraId="07185B79" w14:textId="4E96FA4A" w:rsidR="00DA5980" w:rsidRDefault="009012D2" w:rsidP="009B3CBF">
      <w:pPr>
        <w:spacing w:after="120"/>
        <w:jc w:val="both"/>
        <w:rPr>
          <w:rFonts w:ascii="Calibri" w:hAnsi="Calibri"/>
        </w:rPr>
      </w:pPr>
      <w:r>
        <w:t xml:space="preserve">We have based our submission </w:t>
      </w:r>
      <w:r w:rsidR="00C01A7A">
        <w:t xml:space="preserve">on </w:t>
      </w:r>
      <w:r>
        <w:t xml:space="preserve">the main themes of the </w:t>
      </w:r>
      <w:r w:rsidR="00C01A7A">
        <w:t>d</w:t>
      </w:r>
      <w:r>
        <w:t>iscussion paper</w:t>
      </w:r>
      <w:r w:rsidR="00C01A7A">
        <w:t>,</w:t>
      </w:r>
      <w:r>
        <w:t xml:space="preserve"> with an emphasis on co-design being a key component of any review of the </w:t>
      </w:r>
      <w:r w:rsidR="00C01A7A">
        <w:t>f</w:t>
      </w:r>
      <w:r>
        <w:t xml:space="preserve">amily </w:t>
      </w:r>
      <w:r w:rsidR="00C01A7A">
        <w:t>l</w:t>
      </w:r>
      <w:r>
        <w:t xml:space="preserve">aw </w:t>
      </w:r>
      <w:r w:rsidR="00C01A7A">
        <w:t>s</w:t>
      </w:r>
      <w:r>
        <w:t xml:space="preserve">ystem. We note </w:t>
      </w:r>
      <w:r w:rsidR="00900662">
        <w:t xml:space="preserve">that the ALRC proposes </w:t>
      </w:r>
      <w:r w:rsidRPr="00AF76A8">
        <w:t>“</w:t>
      </w:r>
      <w:r w:rsidRPr="00AF76A8">
        <w:rPr>
          <w:rFonts w:ascii="Calibri" w:hAnsi="Calibri"/>
        </w:rPr>
        <w:t>consultation with Aboriginal and Torres Strait Islander, culturally and linguistically diverse, LGBTIQ and disability organisations</w:t>
      </w:r>
      <w:r w:rsidR="00E559C7" w:rsidRPr="00AF76A8">
        <w:rPr>
          <w:rFonts w:ascii="Calibri" w:hAnsi="Calibri"/>
        </w:rPr>
        <w:t>”</w:t>
      </w:r>
      <w:r>
        <w:rPr>
          <w:rFonts w:ascii="Calibri" w:hAnsi="Calibri"/>
        </w:rPr>
        <w:t xml:space="preserve"> in </w:t>
      </w:r>
      <w:r w:rsidR="00900662">
        <w:rPr>
          <w:rFonts w:ascii="Calibri" w:hAnsi="Calibri"/>
        </w:rPr>
        <w:t>a number of different</w:t>
      </w:r>
      <w:r>
        <w:rPr>
          <w:rFonts w:ascii="Calibri" w:hAnsi="Calibri"/>
        </w:rPr>
        <w:t xml:space="preserve"> </w:t>
      </w:r>
      <w:r w:rsidR="00E559C7">
        <w:rPr>
          <w:rFonts w:ascii="Calibri" w:hAnsi="Calibri"/>
        </w:rPr>
        <w:t>sections</w:t>
      </w:r>
      <w:r>
        <w:rPr>
          <w:rFonts w:ascii="Calibri" w:hAnsi="Calibri"/>
        </w:rPr>
        <w:t xml:space="preserve"> of the discussion paper. </w:t>
      </w:r>
    </w:p>
    <w:p w14:paraId="4C79F6A4" w14:textId="5F831FC9" w:rsidR="00802F74" w:rsidRPr="00783657" w:rsidRDefault="00E83450" w:rsidP="009B3CBF">
      <w:pPr>
        <w:spacing w:after="120"/>
        <w:jc w:val="both"/>
      </w:pPr>
      <w:r>
        <w:rPr>
          <w:rFonts w:ascii="Calibri" w:hAnsi="Calibri"/>
        </w:rPr>
        <w:lastRenderedPageBreak/>
        <w:t xml:space="preserve">We </w:t>
      </w:r>
      <w:r w:rsidR="00C01A7A">
        <w:rPr>
          <w:rFonts w:ascii="Calibri" w:hAnsi="Calibri"/>
        </w:rPr>
        <w:t>believe that the ALRC should engage with</w:t>
      </w:r>
      <w:r w:rsidR="00802F74">
        <w:rPr>
          <w:rFonts w:ascii="Calibri" w:hAnsi="Calibri"/>
        </w:rPr>
        <w:t xml:space="preserve"> </w:t>
      </w:r>
      <w:r w:rsidR="00C01A7A">
        <w:rPr>
          <w:rFonts w:ascii="Calibri" w:hAnsi="Calibri"/>
        </w:rPr>
        <w:t xml:space="preserve">individuals that belong to these groups, including people living with disability and their families, </w:t>
      </w:r>
      <w:r w:rsidR="00C6528D">
        <w:rPr>
          <w:rFonts w:ascii="Calibri" w:hAnsi="Calibri"/>
        </w:rPr>
        <w:t>as well as</w:t>
      </w:r>
      <w:r w:rsidR="00C01A7A">
        <w:rPr>
          <w:rFonts w:ascii="Calibri" w:hAnsi="Calibri"/>
        </w:rPr>
        <w:t xml:space="preserve"> the organisations that represent them. Further, we advocate for a process of co-design</w:t>
      </w:r>
      <w:r w:rsidR="00456C5C">
        <w:rPr>
          <w:rFonts w:ascii="Calibri" w:hAnsi="Calibri"/>
        </w:rPr>
        <w:t xml:space="preserve"> or co-production</w:t>
      </w:r>
      <w:r w:rsidR="00C01A7A">
        <w:rPr>
          <w:rFonts w:ascii="Calibri" w:hAnsi="Calibri"/>
        </w:rPr>
        <w:t xml:space="preserve">, rather than consultation. </w:t>
      </w:r>
      <w:r w:rsidR="00802F74">
        <w:rPr>
          <w:rFonts w:ascii="Calibri" w:hAnsi="Calibri"/>
        </w:rPr>
        <w:t>The distinction is important. W</w:t>
      </w:r>
      <w:r w:rsidR="00802F74" w:rsidRPr="00783657">
        <w:t xml:space="preserve">hen we refer to co-design we mean a process where the perspective of the intended beneficiaries is included in the design process. Consultation is a process where beneficiary stakeholder views are sought but where the decisions </w:t>
      </w:r>
      <w:r w:rsidR="00D24659">
        <w:t>are made</w:t>
      </w:r>
      <w:r w:rsidR="00D24659" w:rsidRPr="00783657">
        <w:t xml:space="preserve"> </w:t>
      </w:r>
      <w:r w:rsidR="00802F74" w:rsidRPr="00783657">
        <w:t>elsewhere. Co-design is a process where beneficiary stakeholder</w:t>
      </w:r>
      <w:r w:rsidR="00C01A7A">
        <w:t>s</w:t>
      </w:r>
      <w:r w:rsidR="00802F74" w:rsidRPr="00783657">
        <w:t xml:space="preserve"> not only contribute to the thinking but participate in the decisions.</w:t>
      </w:r>
      <w:r w:rsidR="00802F74">
        <w:t xml:space="preserve"> In order for the </w:t>
      </w:r>
      <w:r w:rsidR="00C01A7A">
        <w:t>f</w:t>
      </w:r>
      <w:r w:rsidR="00802F74">
        <w:t xml:space="preserve">amily </w:t>
      </w:r>
      <w:r w:rsidR="00C01A7A">
        <w:t>l</w:t>
      </w:r>
      <w:r w:rsidR="00802F74">
        <w:t xml:space="preserve">aw </w:t>
      </w:r>
      <w:r w:rsidR="00C01A7A">
        <w:t>s</w:t>
      </w:r>
      <w:r w:rsidR="00802F74">
        <w:t xml:space="preserve">ystem to work it must be designed with input from those it seeks to serve and protect. </w:t>
      </w:r>
    </w:p>
    <w:p w14:paraId="7DF7C891" w14:textId="77777777" w:rsidR="009012D2" w:rsidRDefault="009012D2" w:rsidP="009B3CBF">
      <w:pPr>
        <w:spacing w:after="160"/>
        <w:jc w:val="both"/>
      </w:pPr>
    </w:p>
    <w:p w14:paraId="25D65E76" w14:textId="7CBA1C8D" w:rsidR="00BA1205" w:rsidRDefault="00D35F59" w:rsidP="009B3CBF">
      <w:pPr>
        <w:pStyle w:val="Heading1"/>
        <w:jc w:val="both"/>
      </w:pPr>
      <w:bookmarkStart w:id="8" w:name="_Toc528576208"/>
      <w:r>
        <w:t xml:space="preserve">Proposals in the </w:t>
      </w:r>
      <w:r w:rsidR="00411DDA">
        <w:t xml:space="preserve">ALRC’s </w:t>
      </w:r>
      <w:r>
        <w:t xml:space="preserve">Review of the Family Law </w:t>
      </w:r>
      <w:r w:rsidR="00C01A7A">
        <w:t>S</w:t>
      </w:r>
      <w:r>
        <w:t xml:space="preserve">ystem </w:t>
      </w:r>
      <w:r w:rsidR="00C01A7A">
        <w:t>D</w:t>
      </w:r>
      <w:r>
        <w:t xml:space="preserve">iscussion </w:t>
      </w:r>
      <w:r w:rsidR="00C01A7A">
        <w:t>P</w:t>
      </w:r>
      <w:r>
        <w:t xml:space="preserve">aper and </w:t>
      </w:r>
      <w:r w:rsidR="00C01A7A">
        <w:t xml:space="preserve">adults </w:t>
      </w:r>
      <w:r>
        <w:t>and children living with disability</w:t>
      </w:r>
      <w:bookmarkEnd w:id="8"/>
      <w:r>
        <w:t xml:space="preserve"> </w:t>
      </w:r>
    </w:p>
    <w:p w14:paraId="2BF28B0B" w14:textId="77777777" w:rsidR="00BA1205" w:rsidRDefault="00BA1205" w:rsidP="009B3CBF">
      <w:pPr>
        <w:spacing w:after="160"/>
        <w:jc w:val="both"/>
      </w:pPr>
    </w:p>
    <w:p w14:paraId="12CCE4FD" w14:textId="77777777" w:rsidR="009012D2" w:rsidRDefault="00965747" w:rsidP="009B3CBF">
      <w:pPr>
        <w:pStyle w:val="Heading2"/>
        <w:jc w:val="both"/>
      </w:pPr>
      <w:r w:rsidRPr="00965747">
        <w:t xml:space="preserve"> </w:t>
      </w:r>
      <w:bookmarkStart w:id="9" w:name="_Toc528576209"/>
      <w:r>
        <w:t xml:space="preserve">Proposal 2: </w:t>
      </w:r>
      <w:r w:rsidR="00802F74">
        <w:t>Education, Awareness and Information</w:t>
      </w:r>
      <w:bookmarkEnd w:id="9"/>
    </w:p>
    <w:p w14:paraId="59797608" w14:textId="77777777" w:rsidR="00965747" w:rsidRPr="00965747" w:rsidRDefault="00965747" w:rsidP="009B3CBF">
      <w:pPr>
        <w:jc w:val="both"/>
      </w:pPr>
    </w:p>
    <w:p w14:paraId="23B1EC9F" w14:textId="0AE63D18" w:rsidR="00965747" w:rsidRDefault="00C01A7A" w:rsidP="009B3CBF">
      <w:pPr>
        <w:jc w:val="both"/>
      </w:pPr>
      <w:r>
        <w:t xml:space="preserve">JFA </w:t>
      </w:r>
      <w:r w:rsidR="00965747">
        <w:t xml:space="preserve">Purple Orange supports the proposal </w:t>
      </w:r>
      <w:r w:rsidR="00456C5C">
        <w:t>for</w:t>
      </w:r>
      <w:r w:rsidR="00965747">
        <w:t xml:space="preserve"> a national education and awareness campaign to enhance community understanding of the family law system.</w:t>
      </w:r>
    </w:p>
    <w:p w14:paraId="7BCF4FD2" w14:textId="77777777" w:rsidR="00965747" w:rsidRDefault="00965747" w:rsidP="009B3CBF">
      <w:pPr>
        <w:jc w:val="both"/>
      </w:pPr>
    </w:p>
    <w:p w14:paraId="5B36371B" w14:textId="3DC27C8A" w:rsidR="00965747" w:rsidRDefault="00965747" w:rsidP="009B3CBF">
      <w:pPr>
        <w:jc w:val="both"/>
      </w:pPr>
      <w:r>
        <w:t>Proposal 2–2</w:t>
      </w:r>
      <w:r w:rsidR="00727BD1">
        <w:t xml:space="preserve"> recommends that t</w:t>
      </w:r>
      <w:r>
        <w:t xml:space="preserve">he national education and awareness campaign be developed in consultation with Aboriginal and Torres Strait Islander, culturally and linguistically diverse, LGBTIQ and disability organisations and be available in a range of languages and formats. </w:t>
      </w:r>
    </w:p>
    <w:p w14:paraId="49ECDE8D" w14:textId="77777777" w:rsidR="00965747" w:rsidRDefault="00965747" w:rsidP="009B3CBF">
      <w:pPr>
        <w:jc w:val="both"/>
      </w:pPr>
    </w:p>
    <w:p w14:paraId="1F22959A" w14:textId="31EC455B" w:rsidR="0080288B" w:rsidRPr="00A37D31" w:rsidRDefault="00456C5C" w:rsidP="009B3CBF">
      <w:pPr>
        <w:jc w:val="both"/>
        <w:rPr>
          <w:rFonts w:ascii="Calibri" w:hAnsi="Calibri"/>
        </w:rPr>
      </w:pPr>
      <w:r>
        <w:t xml:space="preserve">JFA </w:t>
      </w:r>
      <w:r w:rsidR="00965747">
        <w:t xml:space="preserve">Purple Orange refers to our general point above that </w:t>
      </w:r>
      <w:r w:rsidR="00965747">
        <w:rPr>
          <w:rFonts w:ascii="Calibri" w:hAnsi="Calibri"/>
        </w:rPr>
        <w:t>this consultation</w:t>
      </w:r>
      <w:r w:rsidR="00EC72A0">
        <w:rPr>
          <w:rFonts w:ascii="Calibri" w:hAnsi="Calibri"/>
        </w:rPr>
        <w:t xml:space="preserve"> </w:t>
      </w:r>
      <w:r w:rsidR="0072627A">
        <w:rPr>
          <w:rFonts w:ascii="Calibri" w:hAnsi="Calibri"/>
        </w:rPr>
        <w:t xml:space="preserve">must </w:t>
      </w:r>
      <w:r w:rsidR="00965747">
        <w:rPr>
          <w:rFonts w:ascii="Calibri" w:hAnsi="Calibri"/>
        </w:rPr>
        <w:t xml:space="preserve">involve not </w:t>
      </w:r>
      <w:r w:rsidR="000A2EEF">
        <w:rPr>
          <w:rFonts w:ascii="Calibri" w:hAnsi="Calibri"/>
        </w:rPr>
        <w:t xml:space="preserve">only </w:t>
      </w:r>
      <w:r w:rsidR="00965747">
        <w:rPr>
          <w:rFonts w:ascii="Calibri" w:hAnsi="Calibri"/>
        </w:rPr>
        <w:t>disability organisations</w:t>
      </w:r>
      <w:r w:rsidR="00727BD1">
        <w:rPr>
          <w:rFonts w:ascii="Calibri" w:hAnsi="Calibri"/>
        </w:rPr>
        <w:t>,</w:t>
      </w:r>
      <w:r w:rsidR="00965747">
        <w:rPr>
          <w:rFonts w:ascii="Calibri" w:hAnsi="Calibri"/>
        </w:rPr>
        <w:t xml:space="preserve"> but </w:t>
      </w:r>
      <w:r w:rsidR="00C6528D">
        <w:rPr>
          <w:rFonts w:ascii="Calibri" w:hAnsi="Calibri"/>
        </w:rPr>
        <w:t xml:space="preserve">also </w:t>
      </w:r>
      <w:r w:rsidR="00965747">
        <w:rPr>
          <w:rFonts w:ascii="Calibri" w:hAnsi="Calibri"/>
        </w:rPr>
        <w:t>co-design or co-production with people living with disability and their families.</w:t>
      </w:r>
      <w:r w:rsidR="00D12DD2">
        <w:rPr>
          <w:rFonts w:ascii="Calibri" w:hAnsi="Calibri"/>
        </w:rPr>
        <w:t xml:space="preserve"> </w:t>
      </w:r>
      <w:r w:rsidR="00D12DD2" w:rsidRPr="00A37D31">
        <w:t>The knowledge and experience of people living with disability and their families are among the most important sources of information and should help guide any change that needs to take place.</w:t>
      </w:r>
    </w:p>
    <w:p w14:paraId="5A8CA298" w14:textId="77777777" w:rsidR="004B5F52" w:rsidRDefault="004B5F52" w:rsidP="009B3CBF">
      <w:pPr>
        <w:jc w:val="both"/>
      </w:pPr>
    </w:p>
    <w:p w14:paraId="732805D6" w14:textId="672F7D73" w:rsidR="004B5F52" w:rsidRDefault="00A37D31" w:rsidP="009B3CBF">
      <w:pPr>
        <w:jc w:val="both"/>
      </w:pPr>
      <w:r>
        <w:lastRenderedPageBreak/>
        <w:t xml:space="preserve">In its position paper, </w:t>
      </w:r>
      <w:r w:rsidR="004B5F52" w:rsidRPr="00A37D31">
        <w:rPr>
          <w:i/>
        </w:rPr>
        <w:t>Violence against women with disabilities,</w:t>
      </w:r>
      <w:r w:rsidR="004B5F52">
        <w:t xml:space="preserve"> Women with </w:t>
      </w:r>
      <w:r w:rsidR="00086170">
        <w:t>D</w:t>
      </w:r>
      <w:r w:rsidR="004B5F52">
        <w:t xml:space="preserve">isabilities Victoria </w:t>
      </w:r>
      <w:r w:rsidR="002B3B88">
        <w:t xml:space="preserve">emphasised the particular importance of giving women a voice in decision-making and planning. It </w:t>
      </w:r>
      <w:r w:rsidR="004B5F52">
        <w:t>states that “the Government, human services and community organisations must provide avenues for women with disabilities to participate actively in decision-making and planning: individually and systemically. It is important to recognise the strength and resilience of women. Living with violence and disclosing personal experiences of violence takes enormous strength and trust, and in turn requires a trust-worthy response.”</w:t>
      </w:r>
      <w:r w:rsidR="004B5F52">
        <w:rPr>
          <w:rStyle w:val="FootnoteReference"/>
        </w:rPr>
        <w:footnoteReference w:id="5"/>
      </w:r>
      <w:r w:rsidR="002B3B88">
        <w:t xml:space="preserve"> JFA Purple Oranges acknowledges the importance of including women in the reform process and the development of an education and awareness campaign, as well as men and children.</w:t>
      </w:r>
    </w:p>
    <w:p w14:paraId="1117AFB3" w14:textId="77777777" w:rsidR="008460C3" w:rsidRDefault="008460C3" w:rsidP="009B3CBF">
      <w:pPr>
        <w:jc w:val="both"/>
      </w:pPr>
    </w:p>
    <w:p w14:paraId="6E0B8225" w14:textId="77777777" w:rsidR="008460C3" w:rsidRDefault="008460C3" w:rsidP="009B3CBF">
      <w:pPr>
        <w:shd w:val="clear" w:color="auto" w:fill="D9D9D9" w:themeFill="background1" w:themeFillShade="D9"/>
        <w:jc w:val="both"/>
        <w:rPr>
          <w:b/>
          <w:color w:val="7030A0"/>
          <w:szCs w:val="22"/>
        </w:rPr>
      </w:pPr>
      <w:r w:rsidRPr="00ED559B">
        <w:rPr>
          <w:b/>
          <w:color w:val="7030A0"/>
          <w:szCs w:val="22"/>
        </w:rPr>
        <w:t>Recommendation</w:t>
      </w:r>
      <w:r>
        <w:rPr>
          <w:b/>
          <w:color w:val="7030A0"/>
          <w:szCs w:val="22"/>
        </w:rPr>
        <w:t xml:space="preserve"> 1</w:t>
      </w:r>
    </w:p>
    <w:p w14:paraId="4A8CA80C" w14:textId="054B046C" w:rsidR="008460C3" w:rsidRPr="00AB7F91" w:rsidRDefault="009C17BD" w:rsidP="009B3CBF">
      <w:pPr>
        <w:shd w:val="clear" w:color="auto" w:fill="D9D9D9" w:themeFill="background1" w:themeFillShade="D9"/>
        <w:jc w:val="both"/>
        <w:rPr>
          <w:szCs w:val="22"/>
        </w:rPr>
      </w:pPr>
      <w:r>
        <w:rPr>
          <w:szCs w:val="22"/>
        </w:rPr>
        <w:t>Proposal 2-2 should be amended to include the statement that ‘t</w:t>
      </w:r>
      <w:r w:rsidR="008460C3">
        <w:rPr>
          <w:szCs w:val="22"/>
        </w:rPr>
        <w:t>he national education and awareness campaign about the family law system should be co-designed or co-produced with</w:t>
      </w:r>
      <w:r w:rsidR="00723B61">
        <w:rPr>
          <w:szCs w:val="22"/>
        </w:rPr>
        <w:t xml:space="preserve"> </w:t>
      </w:r>
      <w:r w:rsidR="00723B61" w:rsidRPr="00AF76A8">
        <w:rPr>
          <w:rFonts w:ascii="Calibri" w:hAnsi="Calibri"/>
        </w:rPr>
        <w:t>Aboriginal and Torres Strait Islander</w:t>
      </w:r>
      <w:r w:rsidR="002B3B88">
        <w:rPr>
          <w:rFonts w:ascii="Calibri" w:hAnsi="Calibri"/>
        </w:rPr>
        <w:t>s</w:t>
      </w:r>
      <w:r w:rsidR="00723B61" w:rsidRPr="00AF76A8">
        <w:rPr>
          <w:rFonts w:ascii="Calibri" w:hAnsi="Calibri"/>
        </w:rPr>
        <w:t xml:space="preserve">, </w:t>
      </w:r>
      <w:r w:rsidR="002B3B88">
        <w:rPr>
          <w:rFonts w:ascii="Calibri" w:hAnsi="Calibri"/>
        </w:rPr>
        <w:t xml:space="preserve">people from </w:t>
      </w:r>
      <w:r w:rsidR="00723B61" w:rsidRPr="00AF76A8">
        <w:rPr>
          <w:rFonts w:ascii="Calibri" w:hAnsi="Calibri"/>
        </w:rPr>
        <w:t>culturally and linguistically diverse</w:t>
      </w:r>
      <w:r w:rsidR="00723B61">
        <w:rPr>
          <w:rFonts w:ascii="Calibri" w:hAnsi="Calibri"/>
        </w:rPr>
        <w:t xml:space="preserve"> </w:t>
      </w:r>
      <w:r w:rsidR="002B3B88">
        <w:rPr>
          <w:rFonts w:ascii="Calibri" w:hAnsi="Calibri"/>
        </w:rPr>
        <w:t>backgrounds</w:t>
      </w:r>
      <w:r w:rsidR="00723B61" w:rsidRPr="00AF76A8">
        <w:rPr>
          <w:rFonts w:ascii="Calibri" w:hAnsi="Calibri"/>
        </w:rPr>
        <w:t xml:space="preserve">, </w:t>
      </w:r>
      <w:r w:rsidR="00723B61">
        <w:rPr>
          <w:rFonts w:ascii="Calibri" w:hAnsi="Calibri"/>
        </w:rPr>
        <w:t xml:space="preserve">people from the </w:t>
      </w:r>
      <w:r w:rsidR="00723B61" w:rsidRPr="00AF76A8">
        <w:rPr>
          <w:rFonts w:ascii="Calibri" w:hAnsi="Calibri"/>
        </w:rPr>
        <w:t xml:space="preserve">LGBTIQ </w:t>
      </w:r>
      <w:r w:rsidR="00723B61">
        <w:rPr>
          <w:rFonts w:ascii="Calibri" w:hAnsi="Calibri"/>
        </w:rPr>
        <w:t xml:space="preserve">community </w:t>
      </w:r>
      <w:r w:rsidR="00723B61" w:rsidRPr="00AF76A8">
        <w:rPr>
          <w:rFonts w:ascii="Calibri" w:hAnsi="Calibri"/>
        </w:rPr>
        <w:t>and</w:t>
      </w:r>
      <w:r w:rsidR="008460C3">
        <w:rPr>
          <w:szCs w:val="22"/>
        </w:rPr>
        <w:t xml:space="preserve"> people livin</w:t>
      </w:r>
      <w:r w:rsidR="00A37D31">
        <w:rPr>
          <w:szCs w:val="22"/>
        </w:rPr>
        <w:t xml:space="preserve">g with disability and </w:t>
      </w:r>
      <w:r w:rsidR="002B3B88">
        <w:rPr>
          <w:szCs w:val="22"/>
        </w:rPr>
        <w:t xml:space="preserve">their </w:t>
      </w:r>
      <w:r w:rsidR="00A37D31">
        <w:rPr>
          <w:szCs w:val="22"/>
        </w:rPr>
        <w:t>families.’</w:t>
      </w:r>
    </w:p>
    <w:p w14:paraId="0CD1E846" w14:textId="77777777" w:rsidR="00965747" w:rsidRDefault="00965747" w:rsidP="009B3CBF">
      <w:pPr>
        <w:jc w:val="both"/>
      </w:pPr>
    </w:p>
    <w:p w14:paraId="4E6712BE" w14:textId="77777777" w:rsidR="008460C3" w:rsidRDefault="008460C3" w:rsidP="009B3CBF">
      <w:pPr>
        <w:jc w:val="both"/>
      </w:pPr>
    </w:p>
    <w:p w14:paraId="6BC8892A" w14:textId="77777777" w:rsidR="00972DA8" w:rsidRDefault="00727BD1" w:rsidP="009B3CBF">
      <w:pPr>
        <w:jc w:val="both"/>
      </w:pPr>
      <w:r>
        <w:t>Proposal 2–7 recommends that t</w:t>
      </w:r>
      <w:r w:rsidR="00965747">
        <w:t>he family law system information package should be accessible in a range of lang</w:t>
      </w:r>
      <w:r w:rsidR="00972DA8">
        <w:t xml:space="preserve">uages and formats, including: </w:t>
      </w:r>
    </w:p>
    <w:p w14:paraId="0742F1E5" w14:textId="77777777" w:rsidR="00972DA8" w:rsidRDefault="00965747" w:rsidP="009B3CBF">
      <w:pPr>
        <w:pStyle w:val="ListParagraph"/>
        <w:numPr>
          <w:ilvl w:val="0"/>
          <w:numId w:val="21"/>
        </w:numPr>
        <w:jc w:val="both"/>
      </w:pPr>
      <w:r>
        <w:t>electron</w:t>
      </w:r>
      <w:r w:rsidR="00972DA8">
        <w:t xml:space="preserve">ically via a central website; </w:t>
      </w:r>
    </w:p>
    <w:p w14:paraId="2E468561" w14:textId="77777777" w:rsidR="00972DA8" w:rsidRDefault="00965747" w:rsidP="009B3CBF">
      <w:pPr>
        <w:pStyle w:val="ListParagraph"/>
        <w:numPr>
          <w:ilvl w:val="0"/>
          <w:numId w:val="21"/>
        </w:numPr>
        <w:jc w:val="both"/>
      </w:pPr>
      <w:r>
        <w:t>as printed material available at key entry points to the family law syste</w:t>
      </w:r>
      <w:r w:rsidR="00972DA8">
        <w:t xml:space="preserve">m and universal services; and </w:t>
      </w:r>
    </w:p>
    <w:p w14:paraId="6277B400" w14:textId="77777777" w:rsidR="00965747" w:rsidRDefault="00965747" w:rsidP="009B3CBF">
      <w:pPr>
        <w:pStyle w:val="ListParagraph"/>
        <w:numPr>
          <w:ilvl w:val="0"/>
          <w:numId w:val="21"/>
        </w:numPr>
        <w:jc w:val="both"/>
      </w:pPr>
      <w:proofErr w:type="gramStart"/>
      <w:r>
        <w:t>through</w:t>
      </w:r>
      <w:proofErr w:type="gramEnd"/>
      <w:r>
        <w:t xml:space="preserve"> interactive means, including a national telephone helpline and a national web-chat service.</w:t>
      </w:r>
    </w:p>
    <w:p w14:paraId="25415512" w14:textId="775982DF" w:rsidR="00965747" w:rsidRDefault="002B3B88" w:rsidP="009B3CBF">
      <w:pPr>
        <w:jc w:val="both"/>
      </w:pPr>
      <w:r>
        <w:t xml:space="preserve">JFA </w:t>
      </w:r>
      <w:r w:rsidR="00965747">
        <w:t>Purple Orange submits that</w:t>
      </w:r>
      <w:r w:rsidR="000A2EEF">
        <w:t>,</w:t>
      </w:r>
      <w:r w:rsidR="00965747">
        <w:t xml:space="preserve"> </w:t>
      </w:r>
      <w:r w:rsidR="00727BD1">
        <w:t>while this is a good starting point</w:t>
      </w:r>
      <w:r w:rsidR="000A2EEF">
        <w:t>,</w:t>
      </w:r>
      <w:r w:rsidR="00727BD1">
        <w:t xml:space="preserve"> </w:t>
      </w:r>
      <w:r w:rsidR="00965747">
        <w:t>these formats</w:t>
      </w:r>
      <w:r w:rsidR="00727BD1">
        <w:t xml:space="preserve"> should also</w:t>
      </w:r>
      <w:r w:rsidR="00965747">
        <w:t xml:space="preserve"> include versions in Easy English and video and audio versions</w:t>
      </w:r>
      <w:r w:rsidR="00727BD1">
        <w:t xml:space="preserve"> and </w:t>
      </w:r>
      <w:r w:rsidR="00972DA8">
        <w:t xml:space="preserve">be </w:t>
      </w:r>
      <w:r w:rsidR="00727BD1">
        <w:t>co-developed with people living with disability and their families</w:t>
      </w:r>
      <w:r w:rsidR="00965747">
        <w:t>.</w:t>
      </w:r>
    </w:p>
    <w:p w14:paraId="56694AAF" w14:textId="77777777" w:rsidR="00727BD1" w:rsidRDefault="00727BD1" w:rsidP="009B3CBF">
      <w:pPr>
        <w:jc w:val="both"/>
        <w:rPr>
          <w:rStyle w:val="Strong"/>
          <w:rFonts w:cs="Helvetica"/>
          <w:color w:val="000000"/>
          <w:shd w:val="clear" w:color="auto" w:fill="FFFFFF"/>
        </w:rPr>
      </w:pPr>
    </w:p>
    <w:p w14:paraId="20630FCA" w14:textId="60764C12" w:rsidR="0080288B" w:rsidRDefault="0080288B" w:rsidP="009B3CBF">
      <w:pPr>
        <w:jc w:val="both"/>
        <w:rPr>
          <w:rFonts w:cs="Helvetica"/>
          <w:color w:val="000000"/>
          <w:shd w:val="clear" w:color="auto" w:fill="FFFFFF"/>
        </w:rPr>
      </w:pPr>
      <w:r w:rsidRPr="00C7629B">
        <w:rPr>
          <w:rStyle w:val="Strong"/>
          <w:rFonts w:cs="Helvetica"/>
          <w:b w:val="0"/>
          <w:color w:val="000000"/>
          <w:shd w:val="clear" w:color="auto" w:fill="FFFFFF"/>
        </w:rPr>
        <w:t xml:space="preserve">There are </w:t>
      </w:r>
      <w:r w:rsidRPr="00AD665D">
        <w:rPr>
          <w:bCs/>
        </w:rPr>
        <w:t xml:space="preserve">good </w:t>
      </w:r>
      <w:hyperlink r:id="rId12" w:tgtFrame="_blank" w:history="1">
        <w:r w:rsidR="00AD665D">
          <w:rPr>
            <w:rFonts w:cs="Helvetica"/>
            <w:color w:val="000000"/>
            <w:shd w:val="clear" w:color="auto" w:fill="FFFFFF"/>
          </w:rPr>
          <w:t>m</w:t>
        </w:r>
        <w:r w:rsidR="00AD665D" w:rsidRPr="00AD665D">
          <w:rPr>
            <w:rFonts w:cs="Helvetica"/>
            <w:color w:val="000000"/>
            <w:shd w:val="clear" w:color="auto" w:fill="FFFFFF"/>
          </w:rPr>
          <w:t>ulti-access legal assistance video</w:t>
        </w:r>
      </w:hyperlink>
      <w:r w:rsidR="00AD665D" w:rsidRPr="00AD665D">
        <w:rPr>
          <w:bCs/>
        </w:rPr>
        <w:t xml:space="preserve"> </w:t>
      </w:r>
      <w:r w:rsidRPr="00AD665D">
        <w:rPr>
          <w:bCs/>
        </w:rPr>
        <w:t xml:space="preserve">resources being developed at a state level that can </w:t>
      </w:r>
      <w:r w:rsidR="00727BD1" w:rsidRPr="00AD665D">
        <w:rPr>
          <w:bCs/>
        </w:rPr>
        <w:t xml:space="preserve">also </w:t>
      </w:r>
      <w:r w:rsidRPr="00AD665D">
        <w:rPr>
          <w:bCs/>
        </w:rPr>
        <w:t xml:space="preserve">be drawn upon. One example is ‘Rights </w:t>
      </w:r>
      <w:r w:rsidR="00554F75">
        <w:rPr>
          <w:bCs/>
        </w:rPr>
        <w:t>on Show</w:t>
      </w:r>
      <w:r w:rsidR="004D20D9">
        <w:rPr>
          <w:bCs/>
        </w:rPr>
        <w:t>’</w:t>
      </w:r>
      <w:r w:rsidR="002B3B88">
        <w:rPr>
          <w:bCs/>
        </w:rPr>
        <w:t>,</w:t>
      </w:r>
      <w:r w:rsidR="00554F75">
        <w:rPr>
          <w:bCs/>
        </w:rPr>
        <w:t xml:space="preserve"> </w:t>
      </w:r>
      <w:r w:rsidRPr="00C7629B">
        <w:rPr>
          <w:rFonts w:cs="Helvetica"/>
          <w:color w:val="000000"/>
          <w:shd w:val="clear" w:color="auto" w:fill="FFFFFF"/>
        </w:rPr>
        <w:t xml:space="preserve">a new legal education resource about rights with police </w:t>
      </w:r>
      <w:r w:rsidRPr="00C7629B">
        <w:rPr>
          <w:rStyle w:val="Strong"/>
          <w:rFonts w:cs="Helvetica"/>
          <w:b w:val="0"/>
          <w:color w:val="000000"/>
          <w:shd w:val="clear" w:color="auto" w:fill="FFFFFF"/>
        </w:rPr>
        <w:t xml:space="preserve">developed by the </w:t>
      </w:r>
      <w:r w:rsidRPr="00C7629B">
        <w:rPr>
          <w:rFonts w:cs="Helvetica"/>
          <w:color w:val="000000"/>
          <w:shd w:val="clear" w:color="auto" w:fill="FFFFFF"/>
        </w:rPr>
        <w:t xml:space="preserve">Legal Services Commission </w:t>
      </w:r>
      <w:r w:rsidR="002B3B88">
        <w:rPr>
          <w:rFonts w:cs="Helvetica"/>
          <w:color w:val="000000"/>
          <w:shd w:val="clear" w:color="auto" w:fill="FFFFFF"/>
        </w:rPr>
        <w:t>of South Australia</w:t>
      </w:r>
      <w:r w:rsidRPr="00C7629B">
        <w:rPr>
          <w:rFonts w:cs="Helvetica"/>
          <w:color w:val="000000"/>
          <w:shd w:val="clear" w:color="auto" w:fill="FFFFFF"/>
        </w:rPr>
        <w:t>.</w:t>
      </w:r>
      <w:r w:rsidR="00893D75">
        <w:rPr>
          <w:rStyle w:val="FootnoteReference"/>
          <w:rFonts w:cs="Helvetica"/>
          <w:color w:val="000000"/>
          <w:shd w:val="clear" w:color="auto" w:fill="FFFFFF"/>
        </w:rPr>
        <w:footnoteReference w:id="6"/>
      </w:r>
      <w:r w:rsidRPr="00C7629B">
        <w:rPr>
          <w:rFonts w:cs="Helvetica"/>
          <w:color w:val="000000"/>
          <w:shd w:val="clear" w:color="auto" w:fill="FFFFFF"/>
        </w:rPr>
        <w:t xml:space="preserve"> This resource has been specifically made for people </w:t>
      </w:r>
      <w:r w:rsidR="00324FE2">
        <w:rPr>
          <w:rFonts w:cs="Helvetica"/>
          <w:color w:val="000000"/>
          <w:shd w:val="clear" w:color="auto" w:fill="FFFFFF"/>
        </w:rPr>
        <w:t xml:space="preserve">living </w:t>
      </w:r>
      <w:r w:rsidRPr="00C7629B">
        <w:rPr>
          <w:rFonts w:cs="Helvetica"/>
          <w:color w:val="000000"/>
          <w:shd w:val="clear" w:color="auto" w:fill="FFFFFF"/>
        </w:rPr>
        <w:t xml:space="preserve">with intellectual disability and cognitive impairment. </w:t>
      </w:r>
      <w:proofErr w:type="gramStart"/>
      <w:r w:rsidR="00554F75">
        <w:rPr>
          <w:rFonts w:cs="Helvetica"/>
          <w:color w:val="000000"/>
          <w:shd w:val="clear" w:color="auto" w:fill="FFFFFF"/>
        </w:rPr>
        <w:t>Rights on Show</w:t>
      </w:r>
      <w:r w:rsidRPr="00C7629B">
        <w:rPr>
          <w:rFonts w:cs="Helvetica"/>
          <w:color w:val="000000"/>
          <w:shd w:val="clear" w:color="auto" w:fill="FFFFFF"/>
        </w:rPr>
        <w:t xml:space="preserve"> is</w:t>
      </w:r>
      <w:proofErr w:type="gramEnd"/>
      <w:r w:rsidRPr="00C7629B">
        <w:rPr>
          <w:rFonts w:cs="Helvetica"/>
          <w:color w:val="000000"/>
          <w:shd w:val="clear" w:color="auto" w:fill="FFFFFF"/>
        </w:rPr>
        <w:t xml:space="preserve"> available to </w:t>
      </w:r>
      <w:r w:rsidR="00F6293F">
        <w:rPr>
          <w:rFonts w:cs="Helvetica"/>
          <w:color w:val="000000"/>
          <w:shd w:val="clear" w:color="auto" w:fill="FFFFFF"/>
        </w:rPr>
        <w:t>anyone who</w:t>
      </w:r>
      <w:r w:rsidRPr="00C7629B">
        <w:rPr>
          <w:rFonts w:cs="Helvetica"/>
          <w:color w:val="000000"/>
          <w:shd w:val="clear" w:color="auto" w:fill="FFFFFF"/>
        </w:rPr>
        <w:t xml:space="preserve"> wish</w:t>
      </w:r>
      <w:r w:rsidR="00F6293F">
        <w:rPr>
          <w:rFonts w:cs="Helvetica"/>
          <w:color w:val="000000"/>
          <w:shd w:val="clear" w:color="auto" w:fill="FFFFFF"/>
        </w:rPr>
        <w:t>es</w:t>
      </w:r>
      <w:r w:rsidRPr="00C7629B">
        <w:rPr>
          <w:rFonts w:cs="Helvetica"/>
          <w:color w:val="000000"/>
          <w:shd w:val="clear" w:color="auto" w:fill="FFFFFF"/>
        </w:rPr>
        <w:t xml:space="preserve"> to learn more about the</w:t>
      </w:r>
      <w:r w:rsidR="00F6293F">
        <w:rPr>
          <w:rFonts w:cs="Helvetica"/>
          <w:color w:val="000000"/>
          <w:shd w:val="clear" w:color="auto" w:fill="FFFFFF"/>
        </w:rPr>
        <w:t>ir</w:t>
      </w:r>
      <w:r w:rsidRPr="00C7629B">
        <w:rPr>
          <w:rFonts w:cs="Helvetica"/>
          <w:color w:val="000000"/>
          <w:shd w:val="clear" w:color="auto" w:fill="FFFFFF"/>
        </w:rPr>
        <w:t xml:space="preserve"> key rights when </w:t>
      </w:r>
      <w:r w:rsidR="00F6293F">
        <w:rPr>
          <w:rFonts w:cs="Helvetica"/>
          <w:color w:val="000000"/>
          <w:shd w:val="clear" w:color="auto" w:fill="FFFFFF"/>
        </w:rPr>
        <w:t>they are first in</w:t>
      </w:r>
      <w:r w:rsidRPr="00C7629B">
        <w:rPr>
          <w:rFonts w:cs="Helvetica"/>
          <w:color w:val="000000"/>
          <w:shd w:val="clear" w:color="auto" w:fill="FFFFFF"/>
        </w:rPr>
        <w:t xml:space="preserve"> contact with the criminal justice system.</w:t>
      </w:r>
      <w:r w:rsidR="00965747">
        <w:rPr>
          <w:rFonts w:cs="Helvetica"/>
          <w:color w:val="000000"/>
          <w:shd w:val="clear" w:color="auto" w:fill="FFFFFF"/>
        </w:rPr>
        <w:t xml:space="preserve"> S</w:t>
      </w:r>
      <w:r>
        <w:rPr>
          <w:rFonts w:cs="Helvetica"/>
          <w:color w:val="000000"/>
          <w:shd w:val="clear" w:color="auto" w:fill="FFFFFF"/>
        </w:rPr>
        <w:t xml:space="preserve">imilar </w:t>
      </w:r>
      <w:r w:rsidR="00E63FAE">
        <w:rPr>
          <w:rFonts w:cs="Helvetica"/>
          <w:color w:val="000000"/>
          <w:shd w:val="clear" w:color="auto" w:fill="FFFFFF"/>
        </w:rPr>
        <w:t xml:space="preserve">accessible </w:t>
      </w:r>
      <w:r>
        <w:rPr>
          <w:rFonts w:cs="Helvetica"/>
          <w:color w:val="000000"/>
          <w:shd w:val="clear" w:color="auto" w:fill="FFFFFF"/>
        </w:rPr>
        <w:t>resource</w:t>
      </w:r>
      <w:r w:rsidR="00965747">
        <w:rPr>
          <w:rFonts w:cs="Helvetica"/>
          <w:color w:val="000000"/>
          <w:shd w:val="clear" w:color="auto" w:fill="FFFFFF"/>
        </w:rPr>
        <w:t>s</w:t>
      </w:r>
      <w:r>
        <w:rPr>
          <w:rFonts w:cs="Helvetica"/>
          <w:color w:val="000000"/>
          <w:shd w:val="clear" w:color="auto" w:fill="FFFFFF"/>
        </w:rPr>
        <w:t xml:space="preserve"> could be developed about the </w:t>
      </w:r>
      <w:r w:rsidR="00F6293F">
        <w:rPr>
          <w:rFonts w:cs="Helvetica"/>
          <w:color w:val="000000"/>
          <w:shd w:val="clear" w:color="auto" w:fill="FFFFFF"/>
        </w:rPr>
        <w:t>f</w:t>
      </w:r>
      <w:r>
        <w:rPr>
          <w:rFonts w:cs="Helvetica"/>
          <w:color w:val="000000"/>
          <w:shd w:val="clear" w:color="auto" w:fill="FFFFFF"/>
        </w:rPr>
        <w:t xml:space="preserve">amily </w:t>
      </w:r>
      <w:r w:rsidR="00F6293F">
        <w:rPr>
          <w:rFonts w:cs="Helvetica"/>
          <w:color w:val="000000"/>
          <w:shd w:val="clear" w:color="auto" w:fill="FFFFFF"/>
        </w:rPr>
        <w:t>l</w:t>
      </w:r>
      <w:r>
        <w:rPr>
          <w:rFonts w:cs="Helvetica"/>
          <w:color w:val="000000"/>
          <w:shd w:val="clear" w:color="auto" w:fill="FFFFFF"/>
        </w:rPr>
        <w:t>aw system.</w:t>
      </w:r>
    </w:p>
    <w:p w14:paraId="7C1EE6AF" w14:textId="77777777" w:rsidR="009C17BD" w:rsidRPr="00C7629B" w:rsidRDefault="009C17BD" w:rsidP="009B3CBF">
      <w:pPr>
        <w:jc w:val="both"/>
        <w:rPr>
          <w:rFonts w:cs="Helvetica"/>
          <w:color w:val="000000"/>
          <w:shd w:val="clear" w:color="auto" w:fill="FFFFFF"/>
        </w:rPr>
      </w:pPr>
    </w:p>
    <w:p w14:paraId="136187A9" w14:textId="2D09309F" w:rsidR="00AB7F91" w:rsidRDefault="00AB7F91" w:rsidP="009B3CBF">
      <w:pPr>
        <w:shd w:val="clear" w:color="auto" w:fill="D9D9D9" w:themeFill="background1" w:themeFillShade="D9"/>
        <w:jc w:val="both"/>
        <w:rPr>
          <w:b/>
          <w:color w:val="7030A0"/>
          <w:szCs w:val="22"/>
        </w:rPr>
      </w:pPr>
      <w:r w:rsidRPr="00ED559B">
        <w:rPr>
          <w:b/>
          <w:color w:val="7030A0"/>
          <w:szCs w:val="22"/>
        </w:rPr>
        <w:t>Recommendation</w:t>
      </w:r>
      <w:r>
        <w:rPr>
          <w:b/>
          <w:color w:val="7030A0"/>
          <w:szCs w:val="22"/>
        </w:rPr>
        <w:t xml:space="preserve"> </w:t>
      </w:r>
      <w:r w:rsidR="008460C3">
        <w:rPr>
          <w:b/>
          <w:color w:val="7030A0"/>
          <w:szCs w:val="22"/>
        </w:rPr>
        <w:t>2</w:t>
      </w:r>
    </w:p>
    <w:p w14:paraId="1F9E189E" w14:textId="2FD8242F" w:rsidR="00AB7F91" w:rsidRPr="00AB7F91" w:rsidRDefault="00E04A18" w:rsidP="009B3CBF">
      <w:pPr>
        <w:shd w:val="clear" w:color="auto" w:fill="D9D9D9" w:themeFill="background1" w:themeFillShade="D9"/>
        <w:jc w:val="both"/>
        <w:rPr>
          <w:szCs w:val="22"/>
        </w:rPr>
      </w:pPr>
      <w:r>
        <w:rPr>
          <w:szCs w:val="22"/>
        </w:rPr>
        <w:t>T</w:t>
      </w:r>
      <w:r w:rsidR="00EE1497">
        <w:rPr>
          <w:szCs w:val="22"/>
        </w:rPr>
        <w:t xml:space="preserve">he </w:t>
      </w:r>
      <w:r w:rsidR="008460C3">
        <w:rPr>
          <w:szCs w:val="22"/>
        </w:rPr>
        <w:t xml:space="preserve">family law information package should </w:t>
      </w:r>
      <w:r w:rsidR="008460C3">
        <w:t>include versions in Easy English as well as video and audio versions and be co-designed by people living with disability and their families.</w:t>
      </w:r>
    </w:p>
    <w:p w14:paraId="0F231E0C" w14:textId="77777777" w:rsidR="0080288B" w:rsidRDefault="0080288B" w:rsidP="009B3CBF">
      <w:pPr>
        <w:jc w:val="both"/>
      </w:pPr>
    </w:p>
    <w:p w14:paraId="5144721F" w14:textId="77777777" w:rsidR="00DA5980" w:rsidRDefault="003607C5">
      <w:pPr>
        <w:pStyle w:val="Heading2"/>
      </w:pPr>
      <w:bookmarkStart w:id="10" w:name="_Toc528576210"/>
      <w:r>
        <w:t xml:space="preserve">Proposal 4: </w:t>
      </w:r>
      <w:r w:rsidR="00124A87">
        <w:t>Getting Advice and Support</w:t>
      </w:r>
      <w:bookmarkEnd w:id="10"/>
    </w:p>
    <w:p w14:paraId="49DAFF34" w14:textId="77777777" w:rsidR="0080288B" w:rsidRDefault="0080288B" w:rsidP="00C7629B"/>
    <w:p w14:paraId="717D55F7" w14:textId="6F1F4D8B" w:rsidR="003607C5" w:rsidRDefault="003607C5" w:rsidP="000E064B">
      <w:pPr>
        <w:jc w:val="both"/>
      </w:pPr>
      <w:r>
        <w:t xml:space="preserve">Proposal 4–1 </w:t>
      </w:r>
      <w:r w:rsidR="00B952D4">
        <w:t>recommends that t</w:t>
      </w:r>
      <w:r>
        <w:t>he Australian Government should work with state and territory governments to establish community-based Families Hubs that will provide separating families and their children with a visible entry point for accessing a range of legal and support services.</w:t>
      </w:r>
    </w:p>
    <w:p w14:paraId="1EEEB786" w14:textId="77777777" w:rsidR="00F6293F" w:rsidRDefault="00F6293F" w:rsidP="000E064B">
      <w:pPr>
        <w:jc w:val="both"/>
      </w:pPr>
    </w:p>
    <w:p w14:paraId="7057CA08" w14:textId="782AA10E" w:rsidR="003607C5" w:rsidRDefault="003607C5" w:rsidP="000E064B">
      <w:pPr>
        <w:jc w:val="both"/>
      </w:pPr>
      <w:r>
        <w:t>Proposal 4–4</w:t>
      </w:r>
      <w:r w:rsidR="00B952D4">
        <w:t xml:space="preserve"> recommends l</w:t>
      </w:r>
      <w:r>
        <w:t xml:space="preserve">ocal service providers, including Aboriginal and Torres Strait Islander, culturally and linguistically diverse, LGBTIQ and disability organisations, specialist family violence services and legal assistance services, including community legal services, should play a central role in the design of Families Hubs, to ensure that each hub is culturally safe and accessible, </w:t>
      </w:r>
      <w:r w:rsidR="00F6293F">
        <w:t xml:space="preserve">responds </w:t>
      </w:r>
      <w:r>
        <w:t>to local needs, and builds on existing networks and relationships between local services.</w:t>
      </w:r>
    </w:p>
    <w:p w14:paraId="1571D2BB" w14:textId="77777777" w:rsidR="00F6293F" w:rsidRDefault="00F6293F" w:rsidP="000E064B">
      <w:pPr>
        <w:jc w:val="both"/>
      </w:pPr>
    </w:p>
    <w:p w14:paraId="55B58AD9" w14:textId="65AAD648" w:rsidR="00893D75" w:rsidRDefault="00B952D4" w:rsidP="000E064B">
      <w:pPr>
        <w:jc w:val="both"/>
      </w:pPr>
      <w:r>
        <w:t>While we agree with the establishment of community-based Family Hubs, it</w:t>
      </w:r>
      <w:r w:rsidR="003607C5">
        <w:t xml:space="preserve"> is important that the Australian Government work closely, not only with the service providers listed above</w:t>
      </w:r>
      <w:r>
        <w:t>,</w:t>
      </w:r>
      <w:r w:rsidR="003607C5">
        <w:t xml:space="preserve"> but also the end users of the hub, being families and young people. In particular</w:t>
      </w:r>
      <w:r w:rsidR="00F6293F">
        <w:t>,</w:t>
      </w:r>
      <w:r w:rsidR="003607C5">
        <w:t xml:space="preserve"> co-</w:t>
      </w:r>
      <w:r w:rsidR="003607C5">
        <w:lastRenderedPageBreak/>
        <w:t>design with people living with disability and parents living with an intellectual disability</w:t>
      </w:r>
      <w:r w:rsidR="00893D75">
        <w:t>, who may find it more difficult to get information,</w:t>
      </w:r>
      <w:r w:rsidR="003607C5">
        <w:t xml:space="preserve"> will be </w:t>
      </w:r>
      <w:r w:rsidR="00EC72A0">
        <w:t>essential</w:t>
      </w:r>
      <w:r w:rsidR="003607C5">
        <w:t xml:space="preserve"> to ensure the hubs are accessible to all. </w:t>
      </w:r>
    </w:p>
    <w:p w14:paraId="7F09B7C4" w14:textId="77777777" w:rsidR="00893D75" w:rsidRDefault="00893D75" w:rsidP="000E064B">
      <w:pPr>
        <w:jc w:val="both"/>
      </w:pPr>
    </w:p>
    <w:p w14:paraId="72EE84EC" w14:textId="3FDCF5BA" w:rsidR="003607C5" w:rsidRDefault="00481F87" w:rsidP="000E064B">
      <w:pPr>
        <w:jc w:val="both"/>
      </w:pPr>
      <w:r>
        <w:t xml:space="preserve">As detailed above, </w:t>
      </w:r>
      <w:r w:rsidR="003607C5">
        <w:t xml:space="preserve">the </w:t>
      </w:r>
      <w:r w:rsidR="003607C5" w:rsidRPr="0092723E">
        <w:rPr>
          <w:i/>
        </w:rPr>
        <w:t>SA Commissioner for Children and Young People: Report on Children and Young People in the Family Law System August 2018</w:t>
      </w:r>
      <w:r>
        <w:rPr>
          <w:i/>
        </w:rPr>
        <w:t xml:space="preserve"> </w:t>
      </w:r>
      <w:r w:rsidRPr="008911BE">
        <w:t xml:space="preserve">outlined </w:t>
      </w:r>
      <w:r>
        <w:t xml:space="preserve">the </w:t>
      </w:r>
      <w:r w:rsidRPr="008911BE">
        <w:t>key messages</w:t>
      </w:r>
      <w:r>
        <w:t xml:space="preserve"> expressed by children and young people </w:t>
      </w:r>
      <w:r w:rsidR="00EF4E2F">
        <w:t>involved in the family law system</w:t>
      </w:r>
      <w:r w:rsidR="003607C5">
        <w:t>.</w:t>
      </w:r>
      <w:r w:rsidR="003607C5">
        <w:rPr>
          <w:rStyle w:val="FootnoteReference"/>
        </w:rPr>
        <w:footnoteReference w:id="7"/>
      </w:r>
      <w:r w:rsidR="003607C5">
        <w:t xml:space="preserve"> These include</w:t>
      </w:r>
      <w:r w:rsidR="00EC72A0">
        <w:t xml:space="preserve"> the message that children want</w:t>
      </w:r>
      <w:r w:rsidR="003607C5">
        <w:t xml:space="preserve"> ‘people in the system to be kind, </w:t>
      </w:r>
      <w:r w:rsidR="009E12AB">
        <w:t>listen and believe what we say.’</w:t>
      </w:r>
    </w:p>
    <w:p w14:paraId="38F599A6" w14:textId="77777777" w:rsidR="00F6293F" w:rsidRDefault="00F6293F" w:rsidP="000E064B">
      <w:pPr>
        <w:jc w:val="both"/>
      </w:pPr>
    </w:p>
    <w:p w14:paraId="436E40DA" w14:textId="1208163E" w:rsidR="0080288B" w:rsidRDefault="00F6293F" w:rsidP="000E064B">
      <w:pPr>
        <w:jc w:val="both"/>
      </w:pPr>
      <w:r>
        <w:t xml:space="preserve">JFA </w:t>
      </w:r>
      <w:r w:rsidR="003607C5">
        <w:t xml:space="preserve">Purple Orange recommends robust </w:t>
      </w:r>
      <w:r w:rsidR="0080288B">
        <w:t>training and accreditation for family law system professionals</w:t>
      </w:r>
      <w:r w:rsidR="00B952D4">
        <w:t xml:space="preserve"> and hub workers</w:t>
      </w:r>
      <w:r w:rsidR="0080288B">
        <w:t xml:space="preserve"> to enhance their competency in working with paren</w:t>
      </w:r>
      <w:r w:rsidR="003607C5">
        <w:t xml:space="preserve">ts and children </w:t>
      </w:r>
      <w:r w:rsidR="00BD441D">
        <w:t xml:space="preserve">living </w:t>
      </w:r>
      <w:r w:rsidR="003607C5">
        <w:t>with disability</w:t>
      </w:r>
      <w:r w:rsidR="00816F6C">
        <w:t xml:space="preserve"> and that this work and training be led by people living with disability.</w:t>
      </w:r>
    </w:p>
    <w:p w14:paraId="77BAD36B" w14:textId="77777777" w:rsidR="006B1367" w:rsidRDefault="006B1367" w:rsidP="000E064B">
      <w:pPr>
        <w:jc w:val="both"/>
      </w:pPr>
    </w:p>
    <w:p w14:paraId="554DA31C" w14:textId="11F0EE6E" w:rsidR="00AB7F91" w:rsidRDefault="00AB7F91" w:rsidP="00AB7F91">
      <w:pPr>
        <w:shd w:val="clear" w:color="auto" w:fill="D9D9D9" w:themeFill="background1" w:themeFillShade="D9"/>
        <w:jc w:val="both"/>
        <w:rPr>
          <w:b/>
          <w:color w:val="7030A0"/>
          <w:szCs w:val="22"/>
        </w:rPr>
      </w:pPr>
      <w:r w:rsidRPr="00ED559B">
        <w:rPr>
          <w:b/>
          <w:color w:val="7030A0"/>
          <w:szCs w:val="22"/>
        </w:rPr>
        <w:t>Recommendation</w:t>
      </w:r>
      <w:r>
        <w:rPr>
          <w:b/>
          <w:color w:val="7030A0"/>
          <w:szCs w:val="22"/>
        </w:rPr>
        <w:t xml:space="preserve"> </w:t>
      </w:r>
      <w:r w:rsidR="0091184E">
        <w:rPr>
          <w:b/>
          <w:color w:val="7030A0"/>
          <w:szCs w:val="22"/>
        </w:rPr>
        <w:t>3</w:t>
      </w:r>
    </w:p>
    <w:p w14:paraId="1E77511A" w14:textId="2B923D8B" w:rsidR="00CC2FFF" w:rsidRPr="00ED559B" w:rsidRDefault="00CC2FFF" w:rsidP="00AB7F91">
      <w:pPr>
        <w:shd w:val="clear" w:color="auto" w:fill="D9D9D9" w:themeFill="background1" w:themeFillShade="D9"/>
        <w:jc w:val="both"/>
        <w:rPr>
          <w:b/>
          <w:color w:val="7030A0"/>
          <w:szCs w:val="22"/>
        </w:rPr>
      </w:pPr>
      <w:r>
        <w:t xml:space="preserve">Ensure the </w:t>
      </w:r>
      <w:r w:rsidR="00CF4ED9">
        <w:t xml:space="preserve">Families </w:t>
      </w:r>
      <w:r>
        <w:t xml:space="preserve">hubs are co-designed with </w:t>
      </w:r>
      <w:r w:rsidR="00EF4E2F">
        <w:t>children and parents</w:t>
      </w:r>
      <w:r>
        <w:t xml:space="preserve"> living with disability and </w:t>
      </w:r>
      <w:r w:rsidR="00893D75">
        <w:t xml:space="preserve">in particular </w:t>
      </w:r>
      <w:r>
        <w:t xml:space="preserve">parents living with an intellectual disability and staffed by well-trained, competent </w:t>
      </w:r>
      <w:r w:rsidR="006B1367">
        <w:t xml:space="preserve">workers </w:t>
      </w:r>
      <w:r>
        <w:t xml:space="preserve">so that the hubs are </w:t>
      </w:r>
      <w:r w:rsidR="00F6293F">
        <w:t xml:space="preserve">inclusive and </w:t>
      </w:r>
      <w:r>
        <w:t>accessible to all.</w:t>
      </w:r>
    </w:p>
    <w:p w14:paraId="626F0372" w14:textId="77777777" w:rsidR="00AB7F91" w:rsidRDefault="00AB7F91" w:rsidP="00AB7F91">
      <w:pPr>
        <w:jc w:val="both"/>
      </w:pPr>
    </w:p>
    <w:p w14:paraId="665FC8C7" w14:textId="77777777" w:rsidR="00124A87" w:rsidRDefault="00AF6FC1" w:rsidP="00124A87">
      <w:pPr>
        <w:pStyle w:val="Heading2"/>
      </w:pPr>
      <w:bookmarkStart w:id="11" w:name="_Toc528576211"/>
      <w:r>
        <w:t xml:space="preserve">Proposal 6: </w:t>
      </w:r>
      <w:r w:rsidR="00124A87">
        <w:t>Access</w:t>
      </w:r>
      <w:bookmarkEnd w:id="11"/>
    </w:p>
    <w:p w14:paraId="03A66286" w14:textId="77777777" w:rsidR="00323DA2" w:rsidRPr="00323DA2" w:rsidRDefault="00323DA2" w:rsidP="00323DA2"/>
    <w:p w14:paraId="211E5532" w14:textId="1974A5D5" w:rsidR="00A774C5" w:rsidRDefault="00F6293F" w:rsidP="000E064B">
      <w:pPr>
        <w:jc w:val="both"/>
      </w:pPr>
      <w:r>
        <w:t xml:space="preserve">JFA </w:t>
      </w:r>
      <w:r w:rsidR="00751D8B">
        <w:t xml:space="preserve">Purple Orange supports </w:t>
      </w:r>
      <w:r w:rsidR="00323DA2">
        <w:t>Proposal 6–12</w:t>
      </w:r>
      <w:r w:rsidR="00751D8B">
        <w:t xml:space="preserve"> that t</w:t>
      </w:r>
      <w:r w:rsidR="00323DA2">
        <w:t>he Australian Government should ensure that all family court premises, including circuit locations and state and territory court buildings that are used for family law matters, are accessible for people</w:t>
      </w:r>
      <w:r w:rsidR="00324FE2">
        <w:t xml:space="preserve"> living </w:t>
      </w:r>
      <w:r w:rsidR="00323DA2">
        <w:t>with disability</w:t>
      </w:r>
      <w:r w:rsidR="00751D8B">
        <w:t>.</w:t>
      </w:r>
    </w:p>
    <w:p w14:paraId="23B72094" w14:textId="77777777" w:rsidR="00E81D9E" w:rsidRDefault="00E81D9E" w:rsidP="00E81D9E">
      <w:pPr>
        <w:jc w:val="both"/>
      </w:pPr>
    </w:p>
    <w:p w14:paraId="04FC8D88" w14:textId="77777777" w:rsidR="00511A4B" w:rsidRDefault="00D35F59" w:rsidP="00511A4B">
      <w:pPr>
        <w:pStyle w:val="Heading2"/>
      </w:pPr>
      <w:bookmarkStart w:id="12" w:name="_Toc528576212"/>
      <w:r>
        <w:t xml:space="preserve">Proposal 8: </w:t>
      </w:r>
      <w:r w:rsidR="00AF6FC1">
        <w:t>Reducing harm</w:t>
      </w:r>
      <w:bookmarkEnd w:id="12"/>
    </w:p>
    <w:p w14:paraId="67CE4257" w14:textId="77777777" w:rsidR="00124F06" w:rsidRDefault="00124F06" w:rsidP="00124F06"/>
    <w:p w14:paraId="6ED3FCB0" w14:textId="020C3474" w:rsidR="00124F06" w:rsidRPr="00124F06" w:rsidRDefault="00A10AAE" w:rsidP="009B3CBF">
      <w:pPr>
        <w:jc w:val="both"/>
      </w:pPr>
      <w:r>
        <w:t xml:space="preserve">JFA </w:t>
      </w:r>
      <w:r w:rsidR="00124F06">
        <w:t xml:space="preserve">Purple Orange supports </w:t>
      </w:r>
      <w:r w:rsidR="00124F06" w:rsidRPr="00124F06">
        <w:t xml:space="preserve">Proposal 8–1 </w:t>
      </w:r>
      <w:r w:rsidR="00124F06">
        <w:t>that t</w:t>
      </w:r>
      <w:r w:rsidR="00124F06" w:rsidRPr="00124F06">
        <w:t xml:space="preserve">he definition of family violence in the </w:t>
      </w:r>
      <w:r w:rsidR="00124F06" w:rsidRPr="00875BDA">
        <w:t>Family Law Act 1975 (</w:t>
      </w:r>
      <w:proofErr w:type="spellStart"/>
      <w:r w:rsidR="00124F06" w:rsidRPr="00875BDA">
        <w:t>Cth</w:t>
      </w:r>
      <w:proofErr w:type="spellEnd"/>
      <w:r w:rsidR="00124F06" w:rsidRPr="00875BDA">
        <w:t>)</w:t>
      </w:r>
      <w:r w:rsidR="00124F06" w:rsidRPr="00124F06">
        <w:t xml:space="preserve"> should be amended to:</w:t>
      </w:r>
    </w:p>
    <w:p w14:paraId="5591DA28" w14:textId="77777777" w:rsidR="00124F06" w:rsidRPr="00124F06" w:rsidRDefault="00124F06" w:rsidP="009B3CBF">
      <w:pPr>
        <w:pStyle w:val="ListParagraph"/>
        <w:numPr>
          <w:ilvl w:val="0"/>
          <w:numId w:val="23"/>
        </w:numPr>
        <w:jc w:val="both"/>
        <w:rPr>
          <w:rFonts w:cstheme="minorBidi"/>
        </w:rPr>
      </w:pPr>
      <w:r w:rsidRPr="00124F06">
        <w:lastRenderedPageBreak/>
        <w:t>clarify some terms used in the list of examples of family violence and to</w:t>
      </w:r>
      <w:r>
        <w:t xml:space="preserve"> </w:t>
      </w:r>
      <w:r w:rsidRPr="00124F06">
        <w:rPr>
          <w:rFonts w:cstheme="minorBidi"/>
        </w:rPr>
        <w:t>include other behaviours (in addition to misuse of systems and processes</w:t>
      </w:r>
      <w:r>
        <w:rPr>
          <w:rFonts w:cstheme="minorBidi"/>
        </w:rPr>
        <w:t xml:space="preserve"> </w:t>
      </w:r>
      <w:r w:rsidRPr="00124F06">
        <w:rPr>
          <w:rFonts w:cstheme="minorBidi"/>
        </w:rPr>
        <w:t>(Proposal 8–3)) including emotional and psychological abuse and</w:t>
      </w:r>
      <w:r>
        <w:rPr>
          <w:rFonts w:cstheme="minorBidi"/>
        </w:rPr>
        <w:t xml:space="preserve"> </w:t>
      </w:r>
      <w:r w:rsidRPr="00124F06">
        <w:rPr>
          <w:rFonts w:cstheme="minorBidi"/>
        </w:rPr>
        <w:t>technology facilitated abuse; and</w:t>
      </w:r>
    </w:p>
    <w:p w14:paraId="576B11DD" w14:textId="77777777" w:rsidR="00124F06" w:rsidRPr="00124F06" w:rsidRDefault="00124F06" w:rsidP="009B3CBF">
      <w:pPr>
        <w:pStyle w:val="ListParagraph"/>
        <w:numPr>
          <w:ilvl w:val="0"/>
          <w:numId w:val="23"/>
        </w:numPr>
        <w:jc w:val="both"/>
      </w:pPr>
      <w:proofErr w:type="gramStart"/>
      <w:r w:rsidRPr="00124F06">
        <w:t>include</w:t>
      </w:r>
      <w:proofErr w:type="gramEnd"/>
      <w:r w:rsidRPr="00124F06">
        <w:t xml:space="preserve"> an explicit cross-reference between the definitions of family</w:t>
      </w:r>
      <w:r>
        <w:t xml:space="preserve"> </w:t>
      </w:r>
      <w:r w:rsidRPr="00124F06">
        <w:rPr>
          <w:rFonts w:cstheme="minorBidi"/>
        </w:rPr>
        <w:t>violence and abuse to ensure it is clear that the definition of abuse</w:t>
      </w:r>
      <w:r>
        <w:rPr>
          <w:rFonts w:cstheme="minorBidi"/>
        </w:rPr>
        <w:t xml:space="preserve"> </w:t>
      </w:r>
      <w:r w:rsidRPr="00124F06">
        <w:rPr>
          <w:rFonts w:cstheme="minorBidi"/>
        </w:rPr>
        <w:t>encompasses direct or indirect exposure to family violence.</w:t>
      </w:r>
    </w:p>
    <w:p w14:paraId="41992340" w14:textId="2B1397BE" w:rsidR="002719DF" w:rsidRPr="00124F06" w:rsidRDefault="00A10AAE" w:rsidP="009B3CBF">
      <w:pPr>
        <w:jc w:val="both"/>
      </w:pPr>
      <w:r>
        <w:t xml:space="preserve">JFA </w:t>
      </w:r>
      <w:r w:rsidR="002719DF">
        <w:t>Purple Orange submits that p</w:t>
      </w:r>
      <w:r w:rsidR="002719DF" w:rsidRPr="00124F06">
        <w:t>eople living with disability and family members are more vulnerable to abuse and family</w:t>
      </w:r>
      <w:r w:rsidR="002719DF">
        <w:t xml:space="preserve"> </w:t>
      </w:r>
      <w:r w:rsidR="002719DF" w:rsidRPr="00124F06">
        <w:t>violence as they are often placed in passive recipient roles due to being dependent on others to provide the supports they need. This vulnerability can be further heightened by the fact that people living with disability may not speak up about abusive situations due to the fear of being punished in some way</w:t>
      </w:r>
      <w:r w:rsidR="002719DF">
        <w:t>.</w:t>
      </w:r>
      <w:r w:rsidR="002719DF">
        <w:rPr>
          <w:rStyle w:val="FootnoteReference"/>
        </w:rPr>
        <w:footnoteReference w:id="8"/>
      </w:r>
    </w:p>
    <w:p w14:paraId="2AEA3188" w14:textId="77777777" w:rsidR="002719DF" w:rsidRDefault="002719DF" w:rsidP="009B3CBF">
      <w:pPr>
        <w:pStyle w:val="Default"/>
        <w:spacing w:line="360" w:lineRule="auto"/>
        <w:jc w:val="both"/>
        <w:rPr>
          <w:rFonts w:asciiTheme="minorHAnsi" w:hAnsiTheme="minorHAnsi" w:cstheme="minorBidi"/>
          <w:color w:val="auto"/>
        </w:rPr>
      </w:pPr>
    </w:p>
    <w:p w14:paraId="757AFBBB" w14:textId="376C7140" w:rsidR="002719DF" w:rsidRDefault="002719DF" w:rsidP="009B3CBF">
      <w:pPr>
        <w:pStyle w:val="Default"/>
        <w:spacing w:line="360" w:lineRule="auto"/>
        <w:jc w:val="both"/>
        <w:rPr>
          <w:rFonts w:asciiTheme="minorHAnsi" w:hAnsiTheme="minorHAnsi" w:cstheme="minorBidi"/>
          <w:color w:val="auto"/>
        </w:rPr>
      </w:pPr>
      <w:r w:rsidRPr="00124F06">
        <w:rPr>
          <w:rFonts w:asciiTheme="minorHAnsi" w:hAnsiTheme="minorHAnsi" w:cstheme="minorBidi"/>
          <w:color w:val="auto"/>
        </w:rPr>
        <w:t xml:space="preserve">The importance of highlighting situations that can result in people living with disability experiencing family violence is further supported by the </w:t>
      </w:r>
      <w:r>
        <w:rPr>
          <w:rFonts w:asciiTheme="minorHAnsi" w:hAnsiTheme="minorHAnsi" w:cstheme="minorBidi"/>
          <w:color w:val="auto"/>
        </w:rPr>
        <w:t>ALR</w:t>
      </w:r>
      <w:r w:rsidR="00EF4E2F">
        <w:rPr>
          <w:rFonts w:asciiTheme="minorHAnsi" w:hAnsiTheme="minorHAnsi" w:cstheme="minorBidi"/>
          <w:color w:val="auto"/>
        </w:rPr>
        <w:t>C</w:t>
      </w:r>
      <w:r>
        <w:rPr>
          <w:rFonts w:asciiTheme="minorHAnsi" w:hAnsiTheme="minorHAnsi" w:cstheme="minorBidi"/>
          <w:color w:val="auto"/>
        </w:rPr>
        <w:t xml:space="preserve">’s </w:t>
      </w:r>
      <w:r w:rsidRPr="001B5FF5">
        <w:rPr>
          <w:rFonts w:asciiTheme="minorHAnsi" w:hAnsiTheme="minorHAnsi" w:cstheme="minorBidi"/>
          <w:color w:val="auto"/>
        </w:rPr>
        <w:t>paper</w:t>
      </w:r>
      <w:r w:rsidRPr="002719DF">
        <w:rPr>
          <w:rFonts w:asciiTheme="minorHAnsi" w:hAnsiTheme="minorHAnsi" w:cstheme="minorBidi"/>
          <w:i/>
          <w:color w:val="auto"/>
        </w:rPr>
        <w:t xml:space="preserve"> Family Violence: Improving legal frameworks</w:t>
      </w:r>
      <w:r>
        <w:rPr>
          <w:rFonts w:asciiTheme="minorHAnsi" w:hAnsiTheme="minorHAnsi" w:cstheme="minorBidi"/>
          <w:color w:val="auto"/>
        </w:rPr>
        <w:t xml:space="preserve"> which</w:t>
      </w:r>
      <w:r w:rsidRPr="00124F06">
        <w:rPr>
          <w:rFonts w:asciiTheme="minorHAnsi" w:hAnsiTheme="minorHAnsi" w:cstheme="minorBidi"/>
          <w:color w:val="auto"/>
        </w:rPr>
        <w:t xml:space="preserve"> suggest</w:t>
      </w:r>
      <w:r w:rsidR="00875BDA">
        <w:rPr>
          <w:rFonts w:asciiTheme="minorHAnsi" w:hAnsiTheme="minorHAnsi" w:cstheme="minorBidi"/>
          <w:color w:val="auto"/>
        </w:rPr>
        <w:t>s</w:t>
      </w:r>
      <w:r w:rsidRPr="00124F06">
        <w:rPr>
          <w:rFonts w:asciiTheme="minorHAnsi" w:hAnsiTheme="minorHAnsi" w:cstheme="minorBidi"/>
          <w:color w:val="auto"/>
        </w:rPr>
        <w:t xml:space="preserve"> that family violence legislation could refer to “the particular problems faced by victims with disabilities because of their dependence on others for support, the compounding effect of their disability on their lack of power and control in a relationship, and the fact that their disability is exploited by their abusers</w:t>
      </w:r>
      <w:r>
        <w:rPr>
          <w:rFonts w:asciiTheme="minorHAnsi" w:hAnsiTheme="minorHAnsi" w:cstheme="minorBidi"/>
          <w:color w:val="auto"/>
        </w:rPr>
        <w:t>.”</w:t>
      </w:r>
      <w:r>
        <w:rPr>
          <w:rStyle w:val="FootnoteReference"/>
          <w:rFonts w:asciiTheme="minorHAnsi" w:hAnsiTheme="minorHAnsi" w:cstheme="minorBidi"/>
          <w:color w:val="auto"/>
        </w:rPr>
        <w:footnoteReference w:id="9"/>
      </w:r>
    </w:p>
    <w:p w14:paraId="0A182029" w14:textId="77777777" w:rsidR="002719DF" w:rsidRDefault="002719DF" w:rsidP="009B3CBF">
      <w:pPr>
        <w:pStyle w:val="Default"/>
        <w:spacing w:line="360" w:lineRule="auto"/>
        <w:jc w:val="both"/>
        <w:rPr>
          <w:rFonts w:asciiTheme="minorHAnsi" w:hAnsiTheme="minorHAnsi" w:cstheme="minorBidi"/>
          <w:color w:val="auto"/>
        </w:rPr>
      </w:pPr>
    </w:p>
    <w:p w14:paraId="5A9675AC" w14:textId="5393C772" w:rsidR="00124F06" w:rsidRDefault="00875BDA" w:rsidP="009B3CBF">
      <w:pPr>
        <w:pStyle w:val="Default"/>
        <w:spacing w:line="360" w:lineRule="auto"/>
        <w:jc w:val="both"/>
        <w:rPr>
          <w:rFonts w:asciiTheme="minorHAnsi" w:hAnsiTheme="minorHAnsi" w:cs="Arial"/>
        </w:rPr>
      </w:pPr>
      <w:r>
        <w:rPr>
          <w:rFonts w:asciiTheme="minorHAnsi" w:hAnsiTheme="minorHAnsi"/>
        </w:rPr>
        <w:t xml:space="preserve">JFA </w:t>
      </w:r>
      <w:r w:rsidR="00124F06" w:rsidRPr="00124F06">
        <w:rPr>
          <w:rFonts w:asciiTheme="minorHAnsi" w:hAnsiTheme="minorHAnsi"/>
        </w:rPr>
        <w:t xml:space="preserve">Purple Orange </w:t>
      </w:r>
      <w:r w:rsidR="00124F06">
        <w:rPr>
          <w:rFonts w:asciiTheme="minorHAnsi" w:hAnsiTheme="minorHAnsi"/>
        </w:rPr>
        <w:t xml:space="preserve">agrees that </w:t>
      </w:r>
      <w:r w:rsidR="00124F06" w:rsidRPr="00124F06">
        <w:rPr>
          <w:rFonts w:asciiTheme="minorHAnsi" w:hAnsiTheme="minorHAnsi" w:cs="Arial"/>
        </w:rPr>
        <w:t xml:space="preserve">family violence legislation should expressly acknowledge that economic abuse is a form of family violence. </w:t>
      </w:r>
    </w:p>
    <w:p w14:paraId="592D2AD7" w14:textId="77777777" w:rsidR="002719DF" w:rsidRPr="002719DF" w:rsidRDefault="002719DF" w:rsidP="002719DF">
      <w:pPr>
        <w:pStyle w:val="Default"/>
        <w:spacing w:line="360" w:lineRule="auto"/>
        <w:rPr>
          <w:rFonts w:asciiTheme="minorHAnsi" w:hAnsiTheme="minorHAnsi" w:cstheme="minorBidi"/>
          <w:color w:val="auto"/>
        </w:rPr>
      </w:pPr>
    </w:p>
    <w:p w14:paraId="34D14E67" w14:textId="578B82D1" w:rsidR="00124F06" w:rsidRDefault="00124F06" w:rsidP="002719DF">
      <w:pPr>
        <w:jc w:val="both"/>
      </w:pPr>
      <w:r w:rsidRPr="00124F06">
        <w:t>People living with disability can be particularly at risk of having their economic resources abused due to being dependent on others, having impaired decision-making capacity and not being afforded sufficient control of their finances by family members, proxies, or service systems.</w:t>
      </w:r>
    </w:p>
    <w:p w14:paraId="1E267A73" w14:textId="77777777" w:rsidR="002827FF" w:rsidRPr="00124F06" w:rsidRDefault="002827FF" w:rsidP="002719DF">
      <w:pPr>
        <w:jc w:val="both"/>
      </w:pPr>
    </w:p>
    <w:p w14:paraId="5CB98628" w14:textId="77777777" w:rsidR="00124F06" w:rsidRDefault="00511A4B" w:rsidP="000E064B">
      <w:pPr>
        <w:jc w:val="both"/>
        <w:rPr>
          <w:rFonts w:ascii="Calibri" w:hAnsi="Calibri"/>
        </w:rPr>
      </w:pPr>
      <w:r>
        <w:rPr>
          <w:rFonts w:ascii="Calibri" w:hAnsi="Calibri"/>
        </w:rPr>
        <w:lastRenderedPageBreak/>
        <w:t xml:space="preserve">Proposal 8–2 recommends that the Australian Government should commission research projects to examine the strengths and limitations of the definition of family violence in the </w:t>
      </w:r>
      <w:r w:rsidRPr="00875BDA">
        <w:rPr>
          <w:rFonts w:ascii="Calibri" w:hAnsi="Calibri"/>
        </w:rPr>
        <w:t>Family Law Act 1975 (</w:t>
      </w:r>
      <w:proofErr w:type="spellStart"/>
      <w:r w:rsidRPr="00875BDA">
        <w:rPr>
          <w:rFonts w:ascii="Calibri" w:hAnsi="Calibri"/>
        </w:rPr>
        <w:t>Cth</w:t>
      </w:r>
      <w:proofErr w:type="spellEnd"/>
      <w:r w:rsidRPr="00875BDA">
        <w:rPr>
          <w:rFonts w:ascii="Calibri" w:hAnsi="Calibri"/>
        </w:rPr>
        <w:t>)</w:t>
      </w:r>
      <w:r>
        <w:rPr>
          <w:rFonts w:ascii="Calibri" w:hAnsi="Calibri"/>
        </w:rPr>
        <w:t xml:space="preserve"> in re</w:t>
      </w:r>
      <w:r w:rsidR="00124F06">
        <w:rPr>
          <w:rFonts w:ascii="Calibri" w:hAnsi="Calibri"/>
        </w:rPr>
        <w:t xml:space="preserve">lation to the experiences of: </w:t>
      </w:r>
    </w:p>
    <w:p w14:paraId="545C83F9" w14:textId="77777777" w:rsidR="00124F06" w:rsidRPr="00124F06" w:rsidRDefault="00511A4B" w:rsidP="00124F06">
      <w:pPr>
        <w:pStyle w:val="ListParagraph"/>
        <w:numPr>
          <w:ilvl w:val="0"/>
          <w:numId w:val="22"/>
        </w:numPr>
        <w:jc w:val="both"/>
        <w:rPr>
          <w:rFonts w:ascii="Calibri" w:hAnsi="Calibri"/>
        </w:rPr>
      </w:pPr>
      <w:r w:rsidRPr="00124F06">
        <w:rPr>
          <w:rFonts w:ascii="Calibri" w:hAnsi="Calibri"/>
        </w:rPr>
        <w:t>Aboriginal and T</w:t>
      </w:r>
      <w:r w:rsidR="00124F06" w:rsidRPr="00124F06">
        <w:rPr>
          <w:rFonts w:ascii="Calibri" w:hAnsi="Calibri"/>
        </w:rPr>
        <w:t xml:space="preserve">orres Strait Islander people; </w:t>
      </w:r>
    </w:p>
    <w:p w14:paraId="7C3FC052" w14:textId="77777777" w:rsidR="00124F06" w:rsidRPr="00124F06" w:rsidRDefault="00511A4B" w:rsidP="00124F06">
      <w:pPr>
        <w:pStyle w:val="ListParagraph"/>
        <w:numPr>
          <w:ilvl w:val="0"/>
          <w:numId w:val="22"/>
        </w:numPr>
        <w:jc w:val="both"/>
        <w:rPr>
          <w:rFonts w:ascii="Calibri" w:hAnsi="Calibri"/>
        </w:rPr>
      </w:pPr>
      <w:r w:rsidRPr="00124F06">
        <w:rPr>
          <w:rFonts w:ascii="Calibri" w:hAnsi="Calibri"/>
        </w:rPr>
        <w:t>people from culturally and linguistic</w:t>
      </w:r>
      <w:r w:rsidR="00124F06" w:rsidRPr="00124F06">
        <w:rPr>
          <w:rFonts w:ascii="Calibri" w:hAnsi="Calibri"/>
        </w:rPr>
        <w:t xml:space="preserve">ally diverse backgrounds; and </w:t>
      </w:r>
    </w:p>
    <w:p w14:paraId="34C1F3F7" w14:textId="77777777" w:rsidR="00511A4B" w:rsidRPr="00124F06" w:rsidRDefault="00511A4B" w:rsidP="00124F06">
      <w:pPr>
        <w:pStyle w:val="ListParagraph"/>
        <w:numPr>
          <w:ilvl w:val="0"/>
          <w:numId w:val="22"/>
        </w:numPr>
        <w:jc w:val="both"/>
        <w:rPr>
          <w:rFonts w:ascii="Calibri" w:hAnsi="Calibri"/>
        </w:rPr>
      </w:pPr>
      <w:r w:rsidRPr="00124F06">
        <w:rPr>
          <w:rFonts w:ascii="Calibri" w:hAnsi="Calibri"/>
        </w:rPr>
        <w:t xml:space="preserve">LGBTIQ people. </w:t>
      </w:r>
    </w:p>
    <w:p w14:paraId="0FB90D0C" w14:textId="0F50501E" w:rsidR="00A774C5" w:rsidRDefault="00031DC9" w:rsidP="000E064B">
      <w:pPr>
        <w:jc w:val="both"/>
        <w:rPr>
          <w:rFonts w:ascii="Calibri" w:hAnsi="Calibri"/>
        </w:rPr>
      </w:pPr>
      <w:r>
        <w:rPr>
          <w:rFonts w:ascii="Calibri" w:hAnsi="Calibri"/>
        </w:rPr>
        <w:t>F</w:t>
      </w:r>
      <w:r w:rsidR="00A774C5">
        <w:rPr>
          <w:rFonts w:ascii="Calibri" w:hAnsi="Calibri"/>
        </w:rPr>
        <w:t xml:space="preserve">urther research </w:t>
      </w:r>
      <w:r w:rsidR="0042693E">
        <w:rPr>
          <w:rFonts w:ascii="Calibri" w:hAnsi="Calibri"/>
        </w:rPr>
        <w:t xml:space="preserve">is also needed </w:t>
      </w:r>
      <w:r w:rsidR="00A774C5">
        <w:rPr>
          <w:rFonts w:ascii="Calibri" w:hAnsi="Calibri"/>
        </w:rPr>
        <w:t xml:space="preserve">into the needs and experiences </w:t>
      </w:r>
      <w:r>
        <w:rPr>
          <w:rFonts w:ascii="Calibri" w:hAnsi="Calibri"/>
        </w:rPr>
        <w:t>of people</w:t>
      </w:r>
      <w:r w:rsidR="00A774C5">
        <w:rPr>
          <w:rFonts w:ascii="Calibri" w:hAnsi="Calibri"/>
        </w:rPr>
        <w:t xml:space="preserve"> living with disability</w:t>
      </w:r>
      <w:r w:rsidR="002827FF">
        <w:rPr>
          <w:rFonts w:ascii="Calibri" w:hAnsi="Calibri"/>
        </w:rPr>
        <w:t>, including children and young people,</w:t>
      </w:r>
      <w:r w:rsidR="00A774C5">
        <w:rPr>
          <w:rFonts w:ascii="Calibri" w:hAnsi="Calibri"/>
        </w:rPr>
        <w:t xml:space="preserve"> in relation to domestic and family violence and the family law system. In particular</w:t>
      </w:r>
      <w:r w:rsidR="00875BDA">
        <w:rPr>
          <w:rFonts w:ascii="Calibri" w:hAnsi="Calibri"/>
        </w:rPr>
        <w:t>,</w:t>
      </w:r>
      <w:r w:rsidR="00A774C5">
        <w:rPr>
          <w:rFonts w:ascii="Calibri" w:hAnsi="Calibri"/>
        </w:rPr>
        <w:t xml:space="preserve"> consideration should be given </w:t>
      </w:r>
      <w:r>
        <w:rPr>
          <w:rFonts w:ascii="Calibri" w:hAnsi="Calibri"/>
        </w:rPr>
        <w:t xml:space="preserve">women living with disability and </w:t>
      </w:r>
      <w:r w:rsidR="00A774C5">
        <w:rPr>
          <w:rFonts w:ascii="Calibri" w:hAnsi="Calibri"/>
        </w:rPr>
        <w:t>to the prevention of abuse and harm</w:t>
      </w:r>
      <w:r w:rsidR="00875BDA">
        <w:rPr>
          <w:rFonts w:ascii="Calibri" w:hAnsi="Calibri"/>
        </w:rPr>
        <w:t>.</w:t>
      </w:r>
      <w:r w:rsidR="00A774C5">
        <w:rPr>
          <w:rFonts w:ascii="Calibri" w:hAnsi="Calibri"/>
        </w:rPr>
        <w:t xml:space="preserve"> </w:t>
      </w:r>
      <w:r w:rsidR="00875BDA">
        <w:rPr>
          <w:rFonts w:ascii="Calibri" w:hAnsi="Calibri"/>
        </w:rPr>
        <w:t>A</w:t>
      </w:r>
      <w:r w:rsidR="00A774C5">
        <w:rPr>
          <w:rFonts w:ascii="Calibri" w:hAnsi="Calibri"/>
        </w:rPr>
        <w:t>n enquiry into the use of restrictive practices</w:t>
      </w:r>
      <w:r w:rsidR="00875BDA">
        <w:rPr>
          <w:rFonts w:ascii="Calibri" w:hAnsi="Calibri"/>
        </w:rPr>
        <w:t xml:space="preserve"> is also needed</w:t>
      </w:r>
      <w:r w:rsidR="00A774C5">
        <w:rPr>
          <w:rFonts w:ascii="Calibri" w:hAnsi="Calibri"/>
        </w:rPr>
        <w:t>.</w:t>
      </w:r>
    </w:p>
    <w:p w14:paraId="49362F52" w14:textId="77777777" w:rsidR="00EC72A0" w:rsidRDefault="00EC72A0" w:rsidP="000E064B">
      <w:pPr>
        <w:jc w:val="both"/>
        <w:rPr>
          <w:rFonts w:ascii="Calibri" w:hAnsi="Calibri"/>
        </w:rPr>
      </w:pPr>
    </w:p>
    <w:p w14:paraId="3EC22BD7" w14:textId="7EC80B27" w:rsidR="00A774C5" w:rsidRDefault="00387E48" w:rsidP="000E064B">
      <w:pPr>
        <w:pStyle w:val="Header"/>
        <w:spacing w:line="360" w:lineRule="auto"/>
        <w:jc w:val="both"/>
        <w:rPr>
          <w:rFonts w:ascii="Calibri" w:hAnsi="Calibri"/>
        </w:rPr>
      </w:pPr>
      <w:r w:rsidRPr="00C7629B">
        <w:rPr>
          <w:rFonts w:ascii="Calibri" w:hAnsi="Calibri"/>
        </w:rPr>
        <w:t xml:space="preserve">In its report </w:t>
      </w:r>
      <w:proofErr w:type="gramStart"/>
      <w:r w:rsidRPr="00C7629B">
        <w:rPr>
          <w:rFonts w:ascii="Calibri" w:hAnsi="Calibri"/>
          <w:i/>
        </w:rPr>
        <w:t>An</w:t>
      </w:r>
      <w:proofErr w:type="gramEnd"/>
      <w:r w:rsidRPr="00C7629B">
        <w:rPr>
          <w:rFonts w:ascii="Calibri" w:hAnsi="Calibri"/>
          <w:i/>
        </w:rPr>
        <w:t xml:space="preserve"> advice on the intersection of family violence and family law issues</w:t>
      </w:r>
      <w:r w:rsidR="00165235">
        <w:rPr>
          <w:rFonts w:ascii="Calibri" w:hAnsi="Calibri"/>
          <w:i/>
        </w:rPr>
        <w:t>,</w:t>
      </w:r>
      <w:r w:rsidRPr="00C7629B">
        <w:rPr>
          <w:rFonts w:ascii="Calibri" w:hAnsi="Calibri"/>
        </w:rPr>
        <w:t xml:space="preserve"> the Family Law Council - Family Violence Committee reiterated the </w:t>
      </w:r>
      <w:r>
        <w:rPr>
          <w:rFonts w:ascii="Calibri" w:hAnsi="Calibri"/>
        </w:rPr>
        <w:t>need for a common knowledge base:</w:t>
      </w:r>
    </w:p>
    <w:p w14:paraId="3A18A2C9" w14:textId="77777777" w:rsidR="00387E48" w:rsidRDefault="00387E48" w:rsidP="00A37D31">
      <w:pPr>
        <w:ind w:left="720"/>
        <w:jc w:val="both"/>
        <w:rPr>
          <w:snapToGrid w:val="0"/>
        </w:rPr>
      </w:pPr>
      <w:r>
        <w:rPr>
          <w:snapToGrid w:val="0"/>
        </w:rPr>
        <w:t>“There needs to be an evidence base for understanding family violence and its impacts, and for interventions with people affected by family violence.</w:t>
      </w:r>
    </w:p>
    <w:p w14:paraId="5E29BE07" w14:textId="77777777" w:rsidR="00387E48" w:rsidRDefault="00387E48" w:rsidP="00A37D31">
      <w:pPr>
        <w:ind w:left="720"/>
        <w:jc w:val="both"/>
        <w:rPr>
          <w:snapToGrid w:val="0"/>
        </w:rPr>
      </w:pPr>
      <w:r w:rsidRPr="00F45D63">
        <w:rPr>
          <w:snapToGrid w:val="0"/>
        </w:rPr>
        <w:t xml:space="preserve">There is often a gap between expert knowledge about adult and child </w:t>
      </w:r>
      <w:r>
        <w:rPr>
          <w:snapToGrid w:val="0"/>
        </w:rPr>
        <w:t>well-being</w:t>
      </w:r>
      <w:r w:rsidRPr="00F45D63">
        <w:rPr>
          <w:snapToGrid w:val="0"/>
        </w:rPr>
        <w:t>, and what is known and readily accessible in the community. It is also clear that community understanding is assisted by case study “stories” as much as by statistics and concepts.</w:t>
      </w:r>
    </w:p>
    <w:p w14:paraId="026BF78D" w14:textId="77777777" w:rsidR="0069253F" w:rsidRDefault="0069253F" w:rsidP="00A37D31">
      <w:pPr>
        <w:ind w:left="720"/>
        <w:jc w:val="both"/>
        <w:rPr>
          <w:snapToGrid w:val="0"/>
        </w:rPr>
      </w:pPr>
    </w:p>
    <w:p w14:paraId="194ECC5B" w14:textId="77777777" w:rsidR="004B5F52" w:rsidRDefault="00387E48" w:rsidP="00A37D31">
      <w:pPr>
        <w:ind w:left="720"/>
        <w:jc w:val="both"/>
        <w:rPr>
          <w:rFonts w:ascii="Calibri" w:hAnsi="Calibri"/>
        </w:rPr>
      </w:pPr>
      <w:r>
        <w:rPr>
          <w:snapToGrid w:val="0"/>
        </w:rPr>
        <w:t xml:space="preserve">All sectors must be aware of research findings in the area of family violence, and the impacts of family violence on children and their </w:t>
      </w:r>
      <w:proofErr w:type="spellStart"/>
      <w:r>
        <w:rPr>
          <w:snapToGrid w:val="0"/>
        </w:rPr>
        <w:t>carers</w:t>
      </w:r>
      <w:proofErr w:type="spellEnd"/>
      <w:r>
        <w:rPr>
          <w:snapToGrid w:val="0"/>
        </w:rPr>
        <w:t>. The research needs to be translated into practical applications for all professionals working with families.</w:t>
      </w:r>
      <w:r w:rsidR="00EC72A0">
        <w:rPr>
          <w:snapToGrid w:val="0"/>
        </w:rPr>
        <w:t xml:space="preserve"> </w:t>
      </w:r>
      <w:r>
        <w:rPr>
          <w:snapToGrid w:val="0"/>
        </w:rPr>
        <w:t xml:space="preserve">Council is of the view that there needs to be a common knowledge base that can be accessed by those assisting people affected by family violence. </w:t>
      </w:r>
      <w:r w:rsidRPr="007D6CA8">
        <w:rPr>
          <w:snapToGrid w:val="0"/>
        </w:rPr>
        <w:t xml:space="preserve">Council recommends that the common knowledge base be continually assessed, developed and updated </w:t>
      </w:r>
      <w:r w:rsidRPr="007D6CA8">
        <w:rPr>
          <w:snapToGrid w:val="0"/>
        </w:rPr>
        <w:lastRenderedPageBreak/>
        <w:t xml:space="preserve">to reflect ongoing research and experiences of those involved in the </w:t>
      </w:r>
      <w:r>
        <w:rPr>
          <w:snapToGrid w:val="0"/>
        </w:rPr>
        <w:t xml:space="preserve">family law </w:t>
      </w:r>
      <w:r w:rsidRPr="007D6CA8">
        <w:rPr>
          <w:snapToGrid w:val="0"/>
        </w:rPr>
        <w:t>system</w:t>
      </w:r>
      <w:r>
        <w:rPr>
          <w:snapToGrid w:val="0"/>
        </w:rPr>
        <w:t>.”</w:t>
      </w:r>
      <w:r>
        <w:rPr>
          <w:rStyle w:val="FootnoteReference"/>
          <w:snapToGrid w:val="0"/>
        </w:rPr>
        <w:footnoteReference w:id="10"/>
      </w:r>
      <w:r w:rsidR="004B5F52" w:rsidRPr="004B5F52">
        <w:rPr>
          <w:rFonts w:ascii="Calibri" w:hAnsi="Calibri"/>
        </w:rPr>
        <w:t xml:space="preserve"> </w:t>
      </w:r>
    </w:p>
    <w:p w14:paraId="1D77B1DB" w14:textId="77777777" w:rsidR="004B5F52" w:rsidRDefault="004B5F52" w:rsidP="004B5F52">
      <w:pPr>
        <w:jc w:val="both"/>
        <w:rPr>
          <w:rFonts w:ascii="Calibri" w:hAnsi="Calibri"/>
        </w:rPr>
      </w:pPr>
    </w:p>
    <w:p w14:paraId="46F3521F" w14:textId="687AF14B" w:rsidR="0042693E" w:rsidRDefault="004B5F52" w:rsidP="004B5F52">
      <w:pPr>
        <w:jc w:val="both"/>
        <w:rPr>
          <w:rFonts w:ascii="Calibri" w:hAnsi="Calibri"/>
        </w:rPr>
      </w:pPr>
      <w:r>
        <w:rPr>
          <w:rFonts w:ascii="Calibri" w:hAnsi="Calibri"/>
        </w:rPr>
        <w:t>The World Health Organisation</w:t>
      </w:r>
      <w:r w:rsidR="003739EC">
        <w:rPr>
          <w:rFonts w:ascii="Calibri" w:hAnsi="Calibri"/>
        </w:rPr>
        <w:t xml:space="preserve"> (WHO)</w:t>
      </w:r>
      <w:r>
        <w:rPr>
          <w:rFonts w:ascii="Calibri" w:hAnsi="Calibri"/>
        </w:rPr>
        <w:t xml:space="preserve"> states that</w:t>
      </w:r>
      <w:r w:rsidR="0042693E">
        <w:rPr>
          <w:rFonts w:ascii="Calibri" w:hAnsi="Calibri"/>
        </w:rPr>
        <w:t>:</w:t>
      </w:r>
      <w:r>
        <w:rPr>
          <w:rFonts w:ascii="Calibri" w:hAnsi="Calibri"/>
        </w:rPr>
        <w:t xml:space="preserve"> </w:t>
      </w:r>
    </w:p>
    <w:p w14:paraId="16D5884A" w14:textId="77B07131" w:rsidR="004B5F52" w:rsidRPr="00196A10" w:rsidRDefault="004B5F52" w:rsidP="008911BE">
      <w:pPr>
        <w:ind w:left="720"/>
        <w:jc w:val="both"/>
        <w:rPr>
          <w:rFonts w:ascii="Calibri" w:hAnsi="Calibri"/>
        </w:rPr>
      </w:pPr>
      <w:r>
        <w:rPr>
          <w:rFonts w:ascii="Calibri" w:hAnsi="Calibri"/>
        </w:rPr>
        <w:t>“</w:t>
      </w:r>
      <w:r w:rsidRPr="00196A10">
        <w:rPr>
          <w:rFonts w:ascii="Calibri" w:hAnsi="Calibri"/>
        </w:rPr>
        <w:t xml:space="preserve">Both children and adults with disabilities are at much higher risk of violence than their non-disabled peers, according to two systematic reviews recently published in the Lancet. The reviews were carried out by Liverpool John </w:t>
      </w:r>
      <w:proofErr w:type="spellStart"/>
      <w:r w:rsidRPr="00196A10">
        <w:rPr>
          <w:rFonts w:ascii="Calibri" w:hAnsi="Calibri"/>
        </w:rPr>
        <w:t>Moores</w:t>
      </w:r>
      <w:proofErr w:type="spellEnd"/>
      <w:r w:rsidRPr="00196A10">
        <w:rPr>
          <w:rFonts w:ascii="Calibri" w:hAnsi="Calibri"/>
        </w:rPr>
        <w:t xml:space="preserve"> University’s Centre for Public Health, a WHO Collaborating Centre for Violence Prevention, and </w:t>
      </w:r>
      <w:proofErr w:type="gramStart"/>
      <w:r w:rsidRPr="00196A10">
        <w:rPr>
          <w:rFonts w:ascii="Calibri" w:hAnsi="Calibri"/>
        </w:rPr>
        <w:t>WHO’s</w:t>
      </w:r>
      <w:proofErr w:type="gramEnd"/>
      <w:r w:rsidRPr="00196A10">
        <w:rPr>
          <w:rFonts w:ascii="Calibri" w:hAnsi="Calibri"/>
        </w:rPr>
        <w:t xml:space="preserve"> Department of Violence and Injury Prevention and Disability. These are the first studies to confirm the magnitude of the problem and they provide the strongest available evidence on violence against children and adults with disabilities. They also highlight the lack of data on this topic from low- and middle-income countries.</w:t>
      </w:r>
      <w:r>
        <w:rPr>
          <w:rFonts w:ascii="Calibri" w:hAnsi="Calibri"/>
        </w:rPr>
        <w:t>”</w:t>
      </w:r>
      <w:r>
        <w:rPr>
          <w:rStyle w:val="FootnoteReference"/>
          <w:rFonts w:ascii="Calibri" w:hAnsi="Calibri"/>
        </w:rPr>
        <w:footnoteReference w:id="11"/>
      </w:r>
    </w:p>
    <w:p w14:paraId="03048A02" w14:textId="77777777" w:rsidR="00387E48" w:rsidRDefault="00387E48" w:rsidP="000E064B">
      <w:pPr>
        <w:jc w:val="both"/>
        <w:rPr>
          <w:snapToGrid w:val="0"/>
        </w:rPr>
      </w:pPr>
    </w:p>
    <w:p w14:paraId="602F2187" w14:textId="605DAAA0" w:rsidR="00EE1497" w:rsidRPr="008460C3" w:rsidRDefault="00EE1497" w:rsidP="00EE1497">
      <w:pPr>
        <w:shd w:val="clear" w:color="auto" w:fill="D9D9D9" w:themeFill="background1" w:themeFillShade="D9"/>
        <w:jc w:val="both"/>
        <w:rPr>
          <w:color w:val="7030A0"/>
          <w:szCs w:val="22"/>
        </w:rPr>
      </w:pPr>
      <w:r w:rsidRPr="00ED559B">
        <w:rPr>
          <w:b/>
          <w:color w:val="7030A0"/>
          <w:szCs w:val="22"/>
        </w:rPr>
        <w:t>Recommendation</w:t>
      </w:r>
      <w:r>
        <w:rPr>
          <w:b/>
          <w:color w:val="7030A0"/>
          <w:szCs w:val="22"/>
        </w:rPr>
        <w:t xml:space="preserve"> </w:t>
      </w:r>
      <w:r w:rsidR="007C3086">
        <w:rPr>
          <w:b/>
          <w:color w:val="7030A0"/>
          <w:szCs w:val="22"/>
        </w:rPr>
        <w:t>4</w:t>
      </w:r>
    </w:p>
    <w:p w14:paraId="0B262EBA" w14:textId="6C505904" w:rsidR="00EE1497" w:rsidRPr="00893D75" w:rsidRDefault="008460C3" w:rsidP="008460C3">
      <w:pPr>
        <w:shd w:val="clear" w:color="auto" w:fill="D9D9D9" w:themeFill="background1" w:themeFillShade="D9"/>
        <w:jc w:val="both"/>
        <w:rPr>
          <w:szCs w:val="22"/>
        </w:rPr>
      </w:pPr>
      <w:r w:rsidRPr="00893D75">
        <w:rPr>
          <w:szCs w:val="22"/>
        </w:rPr>
        <w:t xml:space="preserve">That proposal 8-2 </w:t>
      </w:r>
      <w:proofErr w:type="gramStart"/>
      <w:r w:rsidRPr="00893D75">
        <w:rPr>
          <w:szCs w:val="22"/>
        </w:rPr>
        <w:t>be</w:t>
      </w:r>
      <w:proofErr w:type="gramEnd"/>
      <w:r w:rsidRPr="00893D75">
        <w:rPr>
          <w:szCs w:val="22"/>
        </w:rPr>
        <w:t xml:space="preserve"> amended to include commissioned research</w:t>
      </w:r>
      <w:r w:rsidR="002827FF" w:rsidRPr="00893D75">
        <w:rPr>
          <w:szCs w:val="22"/>
        </w:rPr>
        <w:t xml:space="preserve"> </w:t>
      </w:r>
      <w:r w:rsidRPr="00893D75">
        <w:rPr>
          <w:szCs w:val="22"/>
        </w:rPr>
        <w:t xml:space="preserve">into </w:t>
      </w:r>
      <w:r w:rsidR="00EE1497" w:rsidRPr="00893D75">
        <w:rPr>
          <w:szCs w:val="22"/>
        </w:rPr>
        <w:t>the needs and experiences of people</w:t>
      </w:r>
      <w:r w:rsidR="002827FF" w:rsidRPr="00893D75">
        <w:rPr>
          <w:szCs w:val="22"/>
        </w:rPr>
        <w:t xml:space="preserve"> living with disability</w:t>
      </w:r>
      <w:r w:rsidR="00EE1497" w:rsidRPr="00893D75">
        <w:rPr>
          <w:szCs w:val="22"/>
        </w:rPr>
        <w:t xml:space="preserve">, </w:t>
      </w:r>
      <w:r w:rsidR="002827FF" w:rsidRPr="00893D75">
        <w:rPr>
          <w:szCs w:val="22"/>
        </w:rPr>
        <w:t xml:space="preserve">including </w:t>
      </w:r>
      <w:r w:rsidR="00EE1497" w:rsidRPr="00893D75">
        <w:rPr>
          <w:szCs w:val="22"/>
        </w:rPr>
        <w:t>children and young people</w:t>
      </w:r>
      <w:r w:rsidR="002827FF" w:rsidRPr="00893D75">
        <w:rPr>
          <w:szCs w:val="22"/>
        </w:rPr>
        <w:t>,</w:t>
      </w:r>
      <w:r w:rsidR="00EE1497" w:rsidRPr="00893D75">
        <w:rPr>
          <w:szCs w:val="22"/>
        </w:rPr>
        <w:t xml:space="preserve"> in relation to domestic and family violence and the family law system.</w:t>
      </w:r>
      <w:r w:rsidRPr="00893D75">
        <w:rPr>
          <w:szCs w:val="22"/>
        </w:rPr>
        <w:t xml:space="preserve"> </w:t>
      </w:r>
    </w:p>
    <w:p w14:paraId="52DB5CFA" w14:textId="77777777" w:rsidR="00511A4B" w:rsidRPr="00387E48" w:rsidRDefault="00511A4B" w:rsidP="000E064B">
      <w:pPr>
        <w:jc w:val="both"/>
      </w:pPr>
    </w:p>
    <w:p w14:paraId="16AD44A3" w14:textId="77777777" w:rsidR="00124A87" w:rsidRDefault="00257CDB" w:rsidP="00124A87">
      <w:pPr>
        <w:pStyle w:val="Heading2"/>
      </w:pPr>
      <w:bookmarkStart w:id="13" w:name="_Toc528576213"/>
      <w:r>
        <w:t xml:space="preserve">Proposal 9: </w:t>
      </w:r>
      <w:r w:rsidR="00124A87">
        <w:t>Supported decision making</w:t>
      </w:r>
      <w:bookmarkEnd w:id="13"/>
    </w:p>
    <w:p w14:paraId="102ED598" w14:textId="77777777" w:rsidR="00031DC9" w:rsidRDefault="00031DC9" w:rsidP="00C7629B"/>
    <w:p w14:paraId="6FC4DA6B" w14:textId="171E4766" w:rsidR="00E42ABA" w:rsidRDefault="00875BDA" w:rsidP="000E064B">
      <w:pPr>
        <w:jc w:val="both"/>
      </w:pPr>
      <w:r>
        <w:t xml:space="preserve">JFA </w:t>
      </w:r>
      <w:r w:rsidR="007117F1">
        <w:t>Purple Orange supports Proposal 9-1 that the Family Law Act 1975 (</w:t>
      </w:r>
      <w:proofErr w:type="spellStart"/>
      <w:r w:rsidR="007117F1">
        <w:t>Cth</w:t>
      </w:r>
      <w:proofErr w:type="spellEnd"/>
      <w:r w:rsidR="007117F1">
        <w:t xml:space="preserve">) should include a supported decision making framework for people </w:t>
      </w:r>
      <w:r w:rsidR="00324FE2">
        <w:t xml:space="preserve">living </w:t>
      </w:r>
      <w:r w:rsidR="007117F1">
        <w:t xml:space="preserve">with disability to recognise they have the right to make choices for themselves. The provisions should be in a form consistent with the following recommendations of the ALRC Report 124, Equality, Capacity and Disability in Commonwealth Laws: </w:t>
      </w:r>
    </w:p>
    <w:p w14:paraId="6DFC2F88" w14:textId="77777777" w:rsidR="00E42ABA" w:rsidRDefault="007117F1" w:rsidP="00E42ABA">
      <w:pPr>
        <w:pStyle w:val="ListParagraph"/>
        <w:numPr>
          <w:ilvl w:val="0"/>
          <w:numId w:val="19"/>
        </w:numPr>
        <w:jc w:val="both"/>
      </w:pPr>
      <w:r>
        <w:t xml:space="preserve">Recommendations 3–1 to 3–4 on National Decision Making Principles and Guidelines; and · </w:t>
      </w:r>
    </w:p>
    <w:p w14:paraId="7EB86D90" w14:textId="77777777" w:rsidR="00031DC9" w:rsidRDefault="007117F1" w:rsidP="00E42ABA">
      <w:pPr>
        <w:pStyle w:val="ListParagraph"/>
        <w:numPr>
          <w:ilvl w:val="0"/>
          <w:numId w:val="19"/>
        </w:numPr>
        <w:jc w:val="both"/>
      </w:pPr>
      <w:r>
        <w:lastRenderedPageBreak/>
        <w:t>Recommendations 4–3 to 4–5 on the appointment, recognition, functions and duties of a ‘supporter’.</w:t>
      </w:r>
    </w:p>
    <w:p w14:paraId="04502294" w14:textId="64D57CCB" w:rsidR="00E42ABA" w:rsidRDefault="00E42ABA" w:rsidP="000E064B">
      <w:pPr>
        <w:jc w:val="both"/>
      </w:pPr>
      <w:r>
        <w:t xml:space="preserve">This is required under the </w:t>
      </w:r>
      <w:r w:rsidR="00073758">
        <w:t xml:space="preserve">UNCRPD </w:t>
      </w:r>
      <w:r>
        <w:t xml:space="preserve">which sets out: </w:t>
      </w:r>
    </w:p>
    <w:p w14:paraId="114B4596" w14:textId="77777777" w:rsidR="00E42ABA" w:rsidRDefault="00E42ABA" w:rsidP="00E42ABA">
      <w:pPr>
        <w:pStyle w:val="ListParagraph"/>
        <w:numPr>
          <w:ilvl w:val="0"/>
          <w:numId w:val="18"/>
        </w:numPr>
        <w:jc w:val="both"/>
      </w:pPr>
      <w:r>
        <w:t xml:space="preserve">rights for people with disability to recognition before the law, to legal capacity and to access to justice on an equal basis with others, and </w:t>
      </w:r>
    </w:p>
    <w:p w14:paraId="0FB9395A" w14:textId="77777777" w:rsidR="00E42ABA" w:rsidRDefault="00E42ABA" w:rsidP="00E42ABA">
      <w:pPr>
        <w:pStyle w:val="ListParagraph"/>
        <w:numPr>
          <w:ilvl w:val="0"/>
          <w:numId w:val="18"/>
        </w:numPr>
        <w:jc w:val="both"/>
      </w:pPr>
      <w:proofErr w:type="gramStart"/>
      <w:r>
        <w:t>a</w:t>
      </w:r>
      <w:proofErr w:type="gramEnd"/>
      <w:r>
        <w:t xml:space="preserve"> general principle of respect for inherent dignity, individual autonomy, including freedom to make one’s own choices, and independence of persons. </w:t>
      </w:r>
    </w:p>
    <w:p w14:paraId="4FD9EB77" w14:textId="77777777" w:rsidR="00E42ABA" w:rsidRDefault="00E42ABA" w:rsidP="003A2239">
      <w:pPr>
        <w:jc w:val="both"/>
      </w:pPr>
      <w:r>
        <w:t>It also aligns with the Australian Governments’ commitment to the National Disability Strategy, which includes ‘rights protection, justice and legislation’ as a priority area for action.</w:t>
      </w:r>
      <w:r w:rsidR="003A2239">
        <w:t xml:space="preserve"> It addresses the fact that t</w:t>
      </w:r>
      <w:r w:rsidR="003A2239" w:rsidRPr="003A2239">
        <w:t>here is currently no provision in the Family Law Act for decision making</w:t>
      </w:r>
      <w:r w:rsidR="003A2239">
        <w:t xml:space="preserve"> </w:t>
      </w:r>
      <w:r w:rsidR="003A2239" w:rsidRPr="003A2239">
        <w:t>supports to be provided to people</w:t>
      </w:r>
      <w:r w:rsidR="003A2239">
        <w:t xml:space="preserve"> living</w:t>
      </w:r>
      <w:r w:rsidR="003A2239" w:rsidRPr="003A2239">
        <w:t xml:space="preserve"> with disability</w:t>
      </w:r>
      <w:r w:rsidR="003A2239">
        <w:t>.</w:t>
      </w:r>
    </w:p>
    <w:p w14:paraId="3227033B" w14:textId="77777777" w:rsidR="00D12DD2" w:rsidRDefault="00D12DD2" w:rsidP="003A2239">
      <w:pPr>
        <w:jc w:val="both"/>
      </w:pPr>
    </w:p>
    <w:p w14:paraId="4AE87CCB" w14:textId="6A5BEF9A" w:rsidR="00D12DD2" w:rsidRDefault="00D12DD2" w:rsidP="00D12DD2">
      <w:pPr>
        <w:jc w:val="both"/>
        <w:rPr>
          <w:rFonts w:cs="Arial"/>
          <w:shd w:val="clear" w:color="auto" w:fill="FFFFFF"/>
        </w:rPr>
      </w:pPr>
      <w:r w:rsidRPr="0092723E">
        <w:rPr>
          <w:rFonts w:eastAsia="Times New Roman" w:cs="Arial"/>
          <w:iCs/>
          <w:color w:val="111111"/>
          <w:lang w:eastAsia="en-AU"/>
        </w:rPr>
        <w:t xml:space="preserve">Any change in the </w:t>
      </w:r>
      <w:r w:rsidR="0091184E" w:rsidRPr="0092723E">
        <w:rPr>
          <w:rFonts w:eastAsia="Times New Roman" w:cs="Arial"/>
          <w:iCs/>
          <w:color w:val="111111"/>
          <w:lang w:eastAsia="en-AU"/>
        </w:rPr>
        <w:t xml:space="preserve">Family Law </w:t>
      </w:r>
      <w:r w:rsidRPr="0092723E">
        <w:rPr>
          <w:rFonts w:eastAsia="Times New Roman" w:cs="Arial"/>
          <w:iCs/>
          <w:color w:val="111111"/>
          <w:lang w:eastAsia="en-AU"/>
        </w:rPr>
        <w:t xml:space="preserve">Act must ensure that people </w:t>
      </w:r>
      <w:r w:rsidR="0091184E" w:rsidRPr="0092723E">
        <w:rPr>
          <w:rFonts w:eastAsia="Times New Roman" w:cs="Arial"/>
          <w:iCs/>
          <w:color w:val="111111"/>
          <w:lang w:eastAsia="en-AU"/>
        </w:rPr>
        <w:t xml:space="preserve">living </w:t>
      </w:r>
      <w:r w:rsidRPr="0092723E">
        <w:rPr>
          <w:rFonts w:eastAsia="Times New Roman" w:cs="Arial"/>
          <w:iCs/>
          <w:color w:val="111111"/>
          <w:lang w:eastAsia="en-AU"/>
        </w:rPr>
        <w:t xml:space="preserve">with cognitive disability are provided with the freedom and the tools to participate as equal citizens and for every individual to be free to direct their own life. </w:t>
      </w:r>
      <w:r w:rsidR="00AD665D" w:rsidRPr="0092723E">
        <w:rPr>
          <w:rFonts w:cs="Arial"/>
          <w:shd w:val="clear" w:color="auto" w:fill="FFFFFF"/>
        </w:rPr>
        <w:t>It is important</w:t>
      </w:r>
      <w:r w:rsidR="00AD665D">
        <w:rPr>
          <w:rFonts w:cs="Arial"/>
          <w:shd w:val="clear" w:color="auto" w:fill="FFFFFF"/>
        </w:rPr>
        <w:t xml:space="preserve"> that there is a </w:t>
      </w:r>
      <w:r w:rsidR="00AD665D" w:rsidRPr="00AD665D">
        <w:rPr>
          <w:rFonts w:cs="Arial"/>
          <w:shd w:val="clear" w:color="auto" w:fill="FFFFFF"/>
        </w:rPr>
        <w:t xml:space="preserve">way of supporting a person to make decisions without that person losing ownership of </w:t>
      </w:r>
      <w:r w:rsidRPr="00AD665D">
        <w:rPr>
          <w:rFonts w:cs="Arial"/>
          <w:shd w:val="clear" w:color="auto" w:fill="FFFFFF"/>
        </w:rPr>
        <w:t>th</w:t>
      </w:r>
      <w:r>
        <w:rPr>
          <w:rFonts w:cs="Arial"/>
          <w:shd w:val="clear" w:color="auto" w:fill="FFFFFF"/>
        </w:rPr>
        <w:t>ose</w:t>
      </w:r>
      <w:r w:rsidRPr="00AD665D">
        <w:rPr>
          <w:rFonts w:cs="Arial"/>
          <w:shd w:val="clear" w:color="auto" w:fill="FFFFFF"/>
        </w:rPr>
        <w:t xml:space="preserve"> </w:t>
      </w:r>
      <w:r w:rsidR="00AD665D" w:rsidRPr="00AD665D">
        <w:rPr>
          <w:rFonts w:cs="Arial"/>
          <w:shd w:val="clear" w:color="auto" w:fill="FFFFFF"/>
        </w:rPr>
        <w:t>decisions.</w:t>
      </w:r>
      <w:r w:rsidRPr="00D12DD2">
        <w:rPr>
          <w:rFonts w:cs="Arial"/>
          <w:shd w:val="clear" w:color="auto" w:fill="FFFFFF"/>
        </w:rPr>
        <w:t xml:space="preserve"> </w:t>
      </w:r>
    </w:p>
    <w:p w14:paraId="0466B0E1" w14:textId="77777777" w:rsidR="00A37D31" w:rsidRDefault="00A37D31" w:rsidP="00D12DD2">
      <w:pPr>
        <w:jc w:val="both"/>
        <w:rPr>
          <w:rFonts w:cs="Arial"/>
          <w:shd w:val="clear" w:color="auto" w:fill="FFFFFF"/>
        </w:rPr>
      </w:pPr>
    </w:p>
    <w:p w14:paraId="5408667D" w14:textId="71D36260" w:rsidR="00D12DD2" w:rsidRDefault="00505A52" w:rsidP="00D12DD2">
      <w:pPr>
        <w:jc w:val="both"/>
        <w:rPr>
          <w:rFonts w:cs="Arial"/>
          <w:shd w:val="clear" w:color="auto" w:fill="FFFFFF"/>
        </w:rPr>
      </w:pPr>
      <w:r>
        <w:rPr>
          <w:rFonts w:cs="Arial"/>
          <w:shd w:val="clear" w:color="auto" w:fill="FFFFFF"/>
        </w:rPr>
        <w:t xml:space="preserve">JFA </w:t>
      </w:r>
      <w:r w:rsidR="00D12DD2">
        <w:rPr>
          <w:rFonts w:cs="Arial"/>
          <w:shd w:val="clear" w:color="auto" w:fill="FFFFFF"/>
        </w:rPr>
        <w:t>Purple Orange notes that while proposal 9-1 provides for a broader framework it is important to also build in capacity for individual support in different situations. Research has found that support that worked for one person around one type of decision did not necessarily work in a different situation. A certain type of support can be enabling in one situation but restrictive in another.</w:t>
      </w:r>
      <w:r w:rsidR="00D12DD2">
        <w:rPr>
          <w:rStyle w:val="FootnoteReference"/>
          <w:rFonts w:cs="Arial"/>
          <w:shd w:val="clear" w:color="auto" w:fill="FFFFFF"/>
        </w:rPr>
        <w:footnoteReference w:id="12"/>
      </w:r>
    </w:p>
    <w:p w14:paraId="6D09B73C" w14:textId="77777777" w:rsidR="00EE1497" w:rsidRDefault="00EE1497" w:rsidP="00D82047">
      <w:pPr>
        <w:jc w:val="both"/>
        <w:rPr>
          <w:rFonts w:cs="Arial"/>
          <w:shd w:val="clear" w:color="auto" w:fill="FFFFFF"/>
        </w:rPr>
      </w:pPr>
    </w:p>
    <w:p w14:paraId="28C76692" w14:textId="0467B849" w:rsidR="00EE1497" w:rsidRPr="00ED559B" w:rsidRDefault="00EE1497" w:rsidP="00EE1497">
      <w:pPr>
        <w:shd w:val="clear" w:color="auto" w:fill="D9D9D9" w:themeFill="background1" w:themeFillShade="D9"/>
        <w:jc w:val="both"/>
        <w:rPr>
          <w:b/>
          <w:color w:val="7030A0"/>
          <w:szCs w:val="22"/>
        </w:rPr>
      </w:pPr>
      <w:r w:rsidRPr="00ED559B">
        <w:rPr>
          <w:b/>
          <w:color w:val="7030A0"/>
          <w:szCs w:val="22"/>
        </w:rPr>
        <w:t>Recommendation</w:t>
      </w:r>
      <w:r>
        <w:rPr>
          <w:b/>
          <w:color w:val="7030A0"/>
          <w:szCs w:val="22"/>
        </w:rPr>
        <w:t xml:space="preserve"> </w:t>
      </w:r>
      <w:r w:rsidR="007C3086">
        <w:rPr>
          <w:b/>
          <w:color w:val="7030A0"/>
          <w:szCs w:val="22"/>
        </w:rPr>
        <w:t>5</w:t>
      </w:r>
    </w:p>
    <w:p w14:paraId="04B6A691" w14:textId="6D216AC2" w:rsidR="00EE1497" w:rsidRPr="0091184E" w:rsidRDefault="00EE1497" w:rsidP="00EE1497">
      <w:pPr>
        <w:shd w:val="clear" w:color="auto" w:fill="D9D9D9" w:themeFill="background1" w:themeFillShade="D9"/>
        <w:jc w:val="both"/>
      </w:pPr>
      <w:r>
        <w:rPr>
          <w:szCs w:val="22"/>
        </w:rPr>
        <w:t xml:space="preserve">Any supported decision making framework aligns with </w:t>
      </w:r>
      <w:r w:rsidRPr="0091184E">
        <w:t>the U</w:t>
      </w:r>
      <w:r w:rsidR="0042693E">
        <w:t xml:space="preserve">nited </w:t>
      </w:r>
      <w:r w:rsidRPr="0091184E">
        <w:t>N</w:t>
      </w:r>
      <w:r w:rsidR="0042693E">
        <w:t>ations</w:t>
      </w:r>
      <w:r w:rsidRPr="0091184E">
        <w:t xml:space="preserve"> Convention on the Rights of Persons with Disabilities and the National Disability Strategy</w:t>
      </w:r>
      <w:r w:rsidR="00505A52">
        <w:t>,</w:t>
      </w:r>
      <w:r w:rsidR="0091184E">
        <w:t xml:space="preserve"> an</w:t>
      </w:r>
      <w:r w:rsidR="0091184E" w:rsidRPr="0091184E">
        <w:t>d p</w:t>
      </w:r>
      <w:r w:rsidR="0091184E" w:rsidRPr="00A37D31">
        <w:rPr>
          <w:rFonts w:eastAsia="Times New Roman" w:cs="Arial"/>
          <w:color w:val="111111"/>
          <w:lang w:eastAsia="en-AU"/>
        </w:rPr>
        <w:t xml:space="preserve">eople </w:t>
      </w:r>
      <w:r w:rsidR="00D93C34">
        <w:rPr>
          <w:rFonts w:eastAsia="Times New Roman" w:cs="Arial"/>
          <w:color w:val="111111"/>
          <w:lang w:eastAsia="en-AU"/>
        </w:rPr>
        <w:t xml:space="preserve">living </w:t>
      </w:r>
      <w:r w:rsidR="0091184E" w:rsidRPr="00A37D31">
        <w:rPr>
          <w:rFonts w:eastAsia="Times New Roman" w:cs="Arial"/>
          <w:color w:val="111111"/>
          <w:lang w:eastAsia="en-AU"/>
        </w:rPr>
        <w:t xml:space="preserve">with cognitive disability </w:t>
      </w:r>
      <w:r w:rsidR="00505A52">
        <w:rPr>
          <w:rFonts w:eastAsia="Times New Roman" w:cs="Arial"/>
          <w:color w:val="111111"/>
          <w:lang w:eastAsia="en-AU"/>
        </w:rPr>
        <w:t>guide</w:t>
      </w:r>
      <w:r w:rsidR="0091184E" w:rsidRPr="00A37D31">
        <w:rPr>
          <w:rFonts w:eastAsia="Times New Roman" w:cs="Arial"/>
          <w:color w:val="111111"/>
          <w:lang w:eastAsia="en-AU"/>
        </w:rPr>
        <w:t xml:space="preserve"> the design and p</w:t>
      </w:r>
      <w:r w:rsidR="00CD44D5">
        <w:rPr>
          <w:rFonts w:eastAsia="Times New Roman" w:cs="Arial"/>
          <w:color w:val="111111"/>
          <w:lang w:eastAsia="en-AU"/>
        </w:rPr>
        <w:t xml:space="preserve">ractice of research as well as </w:t>
      </w:r>
      <w:r w:rsidR="0091184E" w:rsidRPr="00A37D31">
        <w:rPr>
          <w:rFonts w:eastAsia="Times New Roman" w:cs="Arial"/>
          <w:color w:val="111111"/>
          <w:lang w:eastAsia="en-AU"/>
        </w:rPr>
        <w:t>the implementation of supported decision-making</w:t>
      </w:r>
      <w:r w:rsidR="00505A52">
        <w:rPr>
          <w:rFonts w:eastAsia="Times New Roman" w:cs="Arial"/>
          <w:color w:val="111111"/>
          <w:lang w:eastAsia="en-AU"/>
        </w:rPr>
        <w:t>.</w:t>
      </w:r>
    </w:p>
    <w:p w14:paraId="719A7333" w14:textId="77777777" w:rsidR="00307DB7" w:rsidRDefault="00307DB7" w:rsidP="00307DB7">
      <w:pPr>
        <w:jc w:val="both"/>
        <w:rPr>
          <w:rFonts w:cs="Arial"/>
          <w:shd w:val="clear" w:color="auto" w:fill="FFFFFF"/>
        </w:rPr>
      </w:pPr>
    </w:p>
    <w:p w14:paraId="5ED0B64E" w14:textId="77777777" w:rsidR="00BA1205" w:rsidRDefault="00D35F59" w:rsidP="00BA1205">
      <w:pPr>
        <w:pStyle w:val="Heading2"/>
      </w:pPr>
      <w:bookmarkStart w:id="14" w:name="_Toc528576214"/>
      <w:r>
        <w:t xml:space="preserve">Proposal 9: </w:t>
      </w:r>
      <w:r w:rsidR="009012D2">
        <w:t>The NDIS</w:t>
      </w:r>
      <w:bookmarkEnd w:id="14"/>
    </w:p>
    <w:p w14:paraId="07EEC267" w14:textId="77777777" w:rsidR="009012D2" w:rsidRPr="009012D2" w:rsidRDefault="009012D2" w:rsidP="00C7629B"/>
    <w:p w14:paraId="6DA4AAC1" w14:textId="331ED311" w:rsidR="00941E69" w:rsidRDefault="00941E69" w:rsidP="000E064B">
      <w:pPr>
        <w:spacing w:after="160"/>
        <w:jc w:val="both"/>
      </w:pPr>
      <w:r>
        <w:t xml:space="preserve">Through the National Disability Strategy (NDS), all levels of government in Australia have committed to a vision of “an inclusive Australian Society that enables people with disability to </w:t>
      </w:r>
      <w:r w:rsidR="00324FE2">
        <w:t>fulfil</w:t>
      </w:r>
      <w:r>
        <w:t xml:space="preserve"> their potential as equal citizens”.</w:t>
      </w:r>
      <w:r w:rsidRPr="00941E69">
        <w:rPr>
          <w:rStyle w:val="BalloonTextChar"/>
        </w:rPr>
        <w:t xml:space="preserve"> </w:t>
      </w:r>
      <w:r w:rsidRPr="00D00E8F">
        <w:rPr>
          <w:rStyle w:val="FootnoteReference"/>
        </w:rPr>
        <w:footnoteReference w:id="13"/>
      </w:r>
      <w:r>
        <w:t xml:space="preserve">  Importantly, the NDS aims to improve the accessibility of mainstream services for people living with disability. Access and inclusion are </w:t>
      </w:r>
      <w:proofErr w:type="gramStart"/>
      <w:r>
        <w:t>key</w:t>
      </w:r>
      <w:proofErr w:type="gramEnd"/>
      <w:r>
        <w:t xml:space="preserve"> to people living with disability and their families taking up valued membership of community life as contributing citizens.</w:t>
      </w:r>
    </w:p>
    <w:p w14:paraId="613796F0" w14:textId="77777777" w:rsidR="00941E69" w:rsidRDefault="00941E69" w:rsidP="000E064B">
      <w:pPr>
        <w:spacing w:after="160"/>
        <w:jc w:val="both"/>
      </w:pPr>
      <w:r>
        <w:t>Like all Australians, people living with disability face challenges with relationships and parenting and need to be appropriately supported through the mainstream programs funded by government.  As stated in the NDS, governments must ensure that “universal personal and community support services are available to meet the needs of people with disability, their families and carers.”</w:t>
      </w:r>
      <w:r w:rsidRPr="00941E69">
        <w:rPr>
          <w:rStyle w:val="BalloonTextChar"/>
        </w:rPr>
        <w:t xml:space="preserve"> </w:t>
      </w:r>
      <w:r w:rsidRPr="00D00E8F">
        <w:rPr>
          <w:rStyle w:val="FootnoteReference"/>
        </w:rPr>
        <w:footnoteReference w:id="14"/>
      </w:r>
      <w:r>
        <w:t xml:space="preserve">    </w:t>
      </w:r>
    </w:p>
    <w:p w14:paraId="2CA65386" w14:textId="77777777" w:rsidR="00941E69" w:rsidRDefault="00196A10" w:rsidP="000E064B">
      <w:pPr>
        <w:spacing w:after="160"/>
        <w:jc w:val="both"/>
      </w:pPr>
      <w:r>
        <w:t>Proposal 9.6 recommends that:</w:t>
      </w:r>
    </w:p>
    <w:p w14:paraId="03DF0976" w14:textId="6F3C3600" w:rsidR="00941E69" w:rsidRDefault="00941E69" w:rsidP="000E064B">
      <w:pPr>
        <w:spacing w:after="160"/>
        <w:jc w:val="both"/>
      </w:pPr>
      <w:r>
        <w:t xml:space="preserve"> “The Australian Government should work with the National Disability Insurance Agency (NDIA) to consider how referrals can be made to the NDIA by family law professionals, and how the National Disability Insurance Scheme (NDIS) could be used to fund appropriate supports for eligible people with disability to: </w:t>
      </w:r>
    </w:p>
    <w:p w14:paraId="1E7A95D0" w14:textId="77777777" w:rsidR="00941E69" w:rsidRDefault="00941E69" w:rsidP="000E064B">
      <w:pPr>
        <w:spacing w:after="160"/>
        <w:jc w:val="both"/>
      </w:pPr>
      <w:r>
        <w:t>•</w:t>
      </w:r>
      <w:r>
        <w:tab/>
        <w:t xml:space="preserve">build parenting abilities; </w:t>
      </w:r>
    </w:p>
    <w:p w14:paraId="5FD20AE7" w14:textId="77777777" w:rsidR="00941E69" w:rsidRDefault="00941E69" w:rsidP="000E064B">
      <w:pPr>
        <w:spacing w:after="160"/>
        <w:jc w:val="both"/>
      </w:pPr>
      <w:r>
        <w:t>•</w:t>
      </w:r>
      <w:r>
        <w:tab/>
      </w:r>
      <w:proofErr w:type="gramStart"/>
      <w:r>
        <w:t>access</w:t>
      </w:r>
      <w:proofErr w:type="gramEnd"/>
      <w:r>
        <w:t xml:space="preserve"> early intervention parenting supports; </w:t>
      </w:r>
    </w:p>
    <w:p w14:paraId="17F91E8E" w14:textId="77777777" w:rsidR="00941E69" w:rsidRDefault="00941E69" w:rsidP="000E064B">
      <w:pPr>
        <w:spacing w:after="160"/>
        <w:jc w:val="both"/>
      </w:pPr>
      <w:r>
        <w:t>•</w:t>
      </w:r>
      <w:r>
        <w:tab/>
        <w:t xml:space="preserve">carry out their parenting responsibilities; </w:t>
      </w:r>
    </w:p>
    <w:p w14:paraId="4B15F0DF" w14:textId="77777777" w:rsidR="00941E69" w:rsidRDefault="00941E69" w:rsidP="000E064B">
      <w:pPr>
        <w:spacing w:after="160"/>
        <w:jc w:val="both"/>
      </w:pPr>
      <w:r>
        <w:t>•</w:t>
      </w:r>
      <w:r>
        <w:tab/>
      </w:r>
      <w:proofErr w:type="gramStart"/>
      <w:r>
        <w:t>access</w:t>
      </w:r>
      <w:proofErr w:type="gramEnd"/>
      <w:r>
        <w:t xml:space="preserve"> family support services and alternative dispute resolution processes; and </w:t>
      </w:r>
    </w:p>
    <w:p w14:paraId="23C67933" w14:textId="77777777" w:rsidR="00941E69" w:rsidRDefault="00941E69" w:rsidP="000E064B">
      <w:pPr>
        <w:spacing w:after="160"/>
        <w:jc w:val="both"/>
      </w:pPr>
      <w:r>
        <w:t>•</w:t>
      </w:r>
      <w:r>
        <w:tab/>
        <w:t>navigate the family law system.”</w:t>
      </w:r>
    </w:p>
    <w:p w14:paraId="1024595F" w14:textId="77777777" w:rsidR="00941E69" w:rsidRDefault="00941E69" w:rsidP="000E064B">
      <w:pPr>
        <w:spacing w:after="160"/>
        <w:jc w:val="both"/>
      </w:pPr>
      <w:r>
        <w:t xml:space="preserve">While we agree that more should be done to support families living with disability in all the areas noted in Proposal 9.6, we do not agree that this should be funded through the NDIS.  </w:t>
      </w:r>
    </w:p>
    <w:p w14:paraId="5D853BB2" w14:textId="36098DB6" w:rsidR="00941E69" w:rsidRDefault="00941E69" w:rsidP="000E064B">
      <w:pPr>
        <w:spacing w:after="160"/>
        <w:jc w:val="both"/>
      </w:pPr>
      <w:r>
        <w:lastRenderedPageBreak/>
        <w:t>Under the NDIS, the community services system continues to have responsibility for population</w:t>
      </w:r>
      <w:r w:rsidR="00505A52">
        <w:t>-</w:t>
      </w:r>
      <w:r>
        <w:t>wide programs and statutory services including family support and counselling, parenting skills programs and family relationships services.</w:t>
      </w:r>
      <w:r w:rsidRPr="00941E69">
        <w:rPr>
          <w:rStyle w:val="BalloonTextChar"/>
        </w:rPr>
        <w:t xml:space="preserve"> </w:t>
      </w:r>
      <w:r w:rsidRPr="00D00E8F">
        <w:rPr>
          <w:rStyle w:val="FootnoteReference"/>
        </w:rPr>
        <w:footnoteReference w:id="15"/>
      </w:r>
      <w:r>
        <w:t xml:space="preserve">  It is the responsibility of the community services and family law system to ensure that the supports they provide are appropriate to people living with disability, it is not the responsibility of the NDIS to ensure this.  </w:t>
      </w:r>
    </w:p>
    <w:p w14:paraId="5B4FFF9E" w14:textId="631C23C5" w:rsidR="00BA1205" w:rsidRDefault="00941E69" w:rsidP="000E064B">
      <w:pPr>
        <w:spacing w:after="160"/>
        <w:jc w:val="both"/>
      </w:pPr>
      <w:r>
        <w:t xml:space="preserve">There is a risk with the focus on the NDIS that mainstream service providers and the community more broadly may feel that people living with disability are already “looked after” and adequately funded through the NDIS, and therefore don’t require support through mainstream services.  This view is not consistent with the NDS and all levels of government need to take active steps through program design and implementation to ensure that mainstream services are inclusive of and adequately provide support to people living with disability. </w:t>
      </w:r>
    </w:p>
    <w:p w14:paraId="270E3614" w14:textId="1A157B2C" w:rsidR="00BA1205" w:rsidRDefault="00BA1205" w:rsidP="00BA1205">
      <w:pPr>
        <w:shd w:val="clear" w:color="auto" w:fill="D9D9D9" w:themeFill="background1" w:themeFillShade="D9"/>
        <w:jc w:val="both"/>
        <w:rPr>
          <w:b/>
          <w:color w:val="7030A0"/>
          <w:szCs w:val="22"/>
        </w:rPr>
      </w:pPr>
      <w:r w:rsidRPr="00ED559B">
        <w:rPr>
          <w:b/>
          <w:color w:val="7030A0"/>
          <w:szCs w:val="22"/>
        </w:rPr>
        <w:t>Recommendation</w:t>
      </w:r>
      <w:r w:rsidR="00757DD6">
        <w:rPr>
          <w:b/>
          <w:color w:val="7030A0"/>
          <w:szCs w:val="22"/>
        </w:rPr>
        <w:t xml:space="preserve"> </w:t>
      </w:r>
      <w:r w:rsidR="007C3086">
        <w:rPr>
          <w:b/>
          <w:color w:val="7030A0"/>
          <w:szCs w:val="22"/>
        </w:rPr>
        <w:t>6</w:t>
      </w:r>
    </w:p>
    <w:p w14:paraId="673D6365" w14:textId="7918F379" w:rsidR="00307A11" w:rsidRPr="00ED559B" w:rsidRDefault="00307A11" w:rsidP="00BA1205">
      <w:pPr>
        <w:shd w:val="clear" w:color="auto" w:fill="D9D9D9" w:themeFill="background1" w:themeFillShade="D9"/>
        <w:jc w:val="both"/>
        <w:rPr>
          <w:b/>
          <w:color w:val="7030A0"/>
          <w:szCs w:val="22"/>
        </w:rPr>
      </w:pPr>
      <w:r>
        <w:rPr>
          <w:szCs w:val="22"/>
        </w:rPr>
        <w:t>A</w:t>
      </w:r>
      <w:r w:rsidRPr="00307A11">
        <w:rPr>
          <w:szCs w:val="22"/>
        </w:rPr>
        <w:t xml:space="preserve">ll levels of government need to take active steps through program design and implementation to ensure that mainstream services are inclusive of and adequately provide support to people living with disability. </w:t>
      </w:r>
      <w:r>
        <w:rPr>
          <w:szCs w:val="22"/>
        </w:rPr>
        <w:t xml:space="preserve">This </w:t>
      </w:r>
      <w:r w:rsidR="005D5C27">
        <w:rPr>
          <w:szCs w:val="22"/>
        </w:rPr>
        <w:t xml:space="preserve">is not the role of the </w:t>
      </w:r>
      <w:r>
        <w:rPr>
          <w:szCs w:val="22"/>
        </w:rPr>
        <w:t>NDIS.</w:t>
      </w:r>
    </w:p>
    <w:p w14:paraId="391B1A7E" w14:textId="77777777" w:rsidR="00BA1205" w:rsidRPr="00ED559B" w:rsidRDefault="00BA1205" w:rsidP="00BA1205">
      <w:pPr>
        <w:shd w:val="clear" w:color="auto" w:fill="D9D9D9" w:themeFill="background1" w:themeFillShade="D9"/>
        <w:spacing w:after="160"/>
        <w:jc w:val="both"/>
        <w:rPr>
          <w:szCs w:val="22"/>
        </w:rPr>
      </w:pPr>
    </w:p>
    <w:p w14:paraId="5FD436D4" w14:textId="77777777" w:rsidR="00D82047" w:rsidRDefault="00DC3B99" w:rsidP="00D82047">
      <w:pPr>
        <w:pStyle w:val="Heading2"/>
      </w:pPr>
      <w:bookmarkStart w:id="15" w:name="_Toc528576215"/>
      <w:r>
        <w:t xml:space="preserve">Proposal 9: </w:t>
      </w:r>
      <w:r w:rsidR="00D82047">
        <w:t>Forced sterilisation</w:t>
      </w:r>
      <w:bookmarkEnd w:id="15"/>
    </w:p>
    <w:p w14:paraId="6B4841CC" w14:textId="1E60727C" w:rsidR="00757DD6" w:rsidRDefault="00757DD6" w:rsidP="00757DD6"/>
    <w:p w14:paraId="5036F2E9" w14:textId="69C9C287" w:rsidR="000F1EC2" w:rsidRDefault="00505A52" w:rsidP="000134BB">
      <w:pPr>
        <w:autoSpaceDE w:val="0"/>
        <w:autoSpaceDN w:val="0"/>
        <w:adjustRightInd w:val="0"/>
        <w:jc w:val="both"/>
      </w:pPr>
      <w:r>
        <w:t>I</w:t>
      </w:r>
      <w:r w:rsidR="000F1EC2" w:rsidRPr="004B5F52">
        <w:t xml:space="preserve">nvoluntary or forced sterilisation is a serious violation of human rights. We agree with the </w:t>
      </w:r>
      <w:r>
        <w:t xml:space="preserve">recommendation of the </w:t>
      </w:r>
      <w:r w:rsidR="000F1EC2" w:rsidRPr="004B5F52">
        <w:t>U</w:t>
      </w:r>
      <w:r w:rsidR="0042693E">
        <w:t xml:space="preserve">nited </w:t>
      </w:r>
      <w:r w:rsidR="000F1EC2" w:rsidRPr="004B5F52">
        <w:t>N</w:t>
      </w:r>
      <w:r w:rsidR="0042693E">
        <w:t>ations</w:t>
      </w:r>
      <w:r w:rsidR="000F1EC2" w:rsidRPr="004B5F52">
        <w:t xml:space="preserve"> Committee on the Rights of Persons with Disabilities to adopt uniform national legislation prohibiting the sterilisation of people </w:t>
      </w:r>
      <w:r w:rsidR="00324FE2">
        <w:t xml:space="preserve">living </w:t>
      </w:r>
      <w:r w:rsidR="000F1EC2" w:rsidRPr="004B5F52">
        <w:t xml:space="preserve">with disabilities in the absence of their prior, fully informed and free consent. </w:t>
      </w:r>
    </w:p>
    <w:p w14:paraId="2A1DAAFB" w14:textId="77777777" w:rsidR="00893D75" w:rsidRDefault="00893D75" w:rsidP="000134BB">
      <w:pPr>
        <w:jc w:val="both"/>
      </w:pPr>
    </w:p>
    <w:p w14:paraId="359D25E5" w14:textId="253DF479" w:rsidR="00127774" w:rsidRPr="00A37D31" w:rsidRDefault="00505A52" w:rsidP="000134BB">
      <w:pPr>
        <w:jc w:val="both"/>
      </w:pPr>
      <w:r>
        <w:t xml:space="preserve">JFA </w:t>
      </w:r>
      <w:r w:rsidR="000F1EC2" w:rsidRPr="004B5F52">
        <w:t>Purple Orange</w:t>
      </w:r>
      <w:r w:rsidR="000312B4">
        <w:t xml:space="preserve"> submits</w:t>
      </w:r>
      <w:r w:rsidR="000F1EC2" w:rsidRPr="004B5F52">
        <w:t xml:space="preserve"> that it is unacceptable that non-therapeutic sterilisation can occur in the absence of consent by the woman on whom it is being performed. This area of human rights requires further protection.</w:t>
      </w:r>
      <w:r w:rsidR="00127774">
        <w:t xml:space="preserve"> </w:t>
      </w:r>
      <w:r>
        <w:t xml:space="preserve">JFA </w:t>
      </w:r>
      <w:r w:rsidR="00127774" w:rsidRPr="00A37D31">
        <w:t xml:space="preserve">Purple Orange joins the Committee on the </w:t>
      </w:r>
      <w:r w:rsidR="00127774" w:rsidRPr="00A37D31">
        <w:lastRenderedPageBreak/>
        <w:t xml:space="preserve">Rights of Persons with Disabilities (CRPD) and the Committee on the Elimination of Discrimination against Women (CEDAW) in </w:t>
      </w:r>
      <w:r>
        <w:t>stating that</w:t>
      </w:r>
      <w:r w:rsidRPr="00A37D31">
        <w:t xml:space="preserve"> </w:t>
      </w:r>
      <w:r w:rsidR="00127774" w:rsidRPr="00A37D31">
        <w:t>a human rights</w:t>
      </w:r>
      <w:r>
        <w:t>-</w:t>
      </w:r>
      <w:r w:rsidR="00127774" w:rsidRPr="00A37D31">
        <w:t xml:space="preserve">based approach </w:t>
      </w:r>
      <w:r>
        <w:t xml:space="preserve">is required </w:t>
      </w:r>
      <w:r w:rsidR="00127774" w:rsidRPr="00A37D31">
        <w:t xml:space="preserve">that safeguards the reproductive choice and autonomy of all women, including women </w:t>
      </w:r>
      <w:r w:rsidR="00324FE2">
        <w:t xml:space="preserve">living </w:t>
      </w:r>
      <w:r w:rsidR="00127774" w:rsidRPr="00A37D31">
        <w:t xml:space="preserve">with </w:t>
      </w:r>
      <w:r>
        <w:t>disability</w:t>
      </w:r>
      <w:r w:rsidR="00127774" w:rsidRPr="00A37D31">
        <w:t>.</w:t>
      </w:r>
    </w:p>
    <w:p w14:paraId="399D1A4E" w14:textId="77777777" w:rsidR="009B3CBF" w:rsidRDefault="009B3CBF" w:rsidP="00A37D31">
      <w:pPr>
        <w:autoSpaceDE w:val="0"/>
        <w:autoSpaceDN w:val="0"/>
        <w:adjustRightInd w:val="0"/>
        <w:jc w:val="both"/>
      </w:pPr>
    </w:p>
    <w:p w14:paraId="566ACBA6" w14:textId="7DFF79FF" w:rsidR="00127774" w:rsidRPr="004B5F52" w:rsidRDefault="00127774" w:rsidP="00A37D31">
      <w:pPr>
        <w:autoSpaceDE w:val="0"/>
        <w:autoSpaceDN w:val="0"/>
        <w:adjustRightInd w:val="0"/>
        <w:jc w:val="both"/>
      </w:pPr>
      <w:r>
        <w:t>In relation to the welfare jurisdiction of the Family Law Act 1975 (</w:t>
      </w:r>
      <w:proofErr w:type="spellStart"/>
      <w:r>
        <w:t>Cth</w:t>
      </w:r>
      <w:proofErr w:type="spellEnd"/>
      <w:r>
        <w:t xml:space="preserve">), </w:t>
      </w:r>
      <w:r w:rsidR="00505A52">
        <w:t xml:space="preserve">JFA </w:t>
      </w:r>
      <w:r>
        <w:t>Purple Orange joins Domestic Violence Victoria and other disability and human rights organisations in recognising forced sterilisation as a violation of human rights and a form of violence against women, and calls for ‘a prohibition on involuntary or forced sterilisation of girls unless there is a serious threat to life’ to be reflected in a new version of the legislation.</w:t>
      </w:r>
      <w:r w:rsidR="00A13308">
        <w:rPr>
          <w:rStyle w:val="FootnoteReference"/>
        </w:rPr>
        <w:footnoteReference w:id="16"/>
      </w:r>
    </w:p>
    <w:p w14:paraId="7514C7A6" w14:textId="77777777" w:rsidR="000F1EC2" w:rsidRDefault="000F1EC2" w:rsidP="00757DD6"/>
    <w:p w14:paraId="4E1126B2" w14:textId="452318BB" w:rsidR="00757DD6" w:rsidRPr="00A13308" w:rsidRDefault="00757DD6" w:rsidP="00757DD6">
      <w:pPr>
        <w:shd w:val="clear" w:color="auto" w:fill="D9D9D9" w:themeFill="background1" w:themeFillShade="D9"/>
        <w:jc w:val="both"/>
        <w:rPr>
          <w:b/>
          <w:color w:val="7030A0"/>
        </w:rPr>
      </w:pPr>
      <w:r w:rsidRPr="00A13308">
        <w:rPr>
          <w:b/>
          <w:color w:val="7030A0"/>
        </w:rPr>
        <w:t xml:space="preserve">Recommendation </w:t>
      </w:r>
      <w:r w:rsidR="007C3086">
        <w:rPr>
          <w:b/>
          <w:color w:val="7030A0"/>
        </w:rPr>
        <w:t>7</w:t>
      </w:r>
    </w:p>
    <w:p w14:paraId="214CF820" w14:textId="00104BAC" w:rsidR="00A13308" w:rsidRPr="00A37D31" w:rsidRDefault="00A13308" w:rsidP="00757DD6">
      <w:pPr>
        <w:shd w:val="clear" w:color="auto" w:fill="D9D9D9" w:themeFill="background1" w:themeFillShade="D9"/>
        <w:jc w:val="both"/>
      </w:pPr>
      <w:proofErr w:type="gramStart"/>
      <w:r w:rsidRPr="00A37D31">
        <w:t>That an additional legislative safeguard</w:t>
      </w:r>
      <w:r>
        <w:t xml:space="preserve"> be incorporated in the </w:t>
      </w:r>
      <w:r w:rsidR="00C432D1">
        <w:rPr>
          <w:rFonts w:ascii="Calibri" w:hAnsi="Calibri"/>
        </w:rPr>
        <w:t>Family Law Act 1975 (</w:t>
      </w:r>
      <w:proofErr w:type="spellStart"/>
      <w:r w:rsidR="00C432D1">
        <w:rPr>
          <w:rFonts w:ascii="Calibri" w:hAnsi="Calibri"/>
        </w:rPr>
        <w:t>Cth</w:t>
      </w:r>
      <w:proofErr w:type="spellEnd"/>
      <w:r w:rsidR="00C432D1">
        <w:rPr>
          <w:rFonts w:ascii="Calibri" w:hAnsi="Calibri"/>
        </w:rPr>
        <w:t xml:space="preserve">) </w:t>
      </w:r>
      <w:r>
        <w:t>that ‘prohibits the involuntary or forced sterilisation of girls unless there is a serious threat to life.’</w:t>
      </w:r>
      <w:proofErr w:type="gramEnd"/>
    </w:p>
    <w:p w14:paraId="0306509C" w14:textId="77777777" w:rsidR="00757DD6" w:rsidRDefault="00757DD6" w:rsidP="00757DD6">
      <w:pPr>
        <w:jc w:val="both"/>
      </w:pPr>
    </w:p>
    <w:p w14:paraId="244F3143" w14:textId="77777777" w:rsidR="00757DD6" w:rsidRPr="00757DD6" w:rsidRDefault="00757DD6" w:rsidP="00757DD6"/>
    <w:p w14:paraId="0D21A0DA" w14:textId="27C36EDB" w:rsidR="00BA1205" w:rsidRDefault="001D45BD" w:rsidP="00D82047">
      <w:pPr>
        <w:pStyle w:val="Heading2"/>
      </w:pPr>
      <w:bookmarkStart w:id="16" w:name="_Toc528576216"/>
      <w:r>
        <w:t xml:space="preserve">Proposal 10: </w:t>
      </w:r>
      <w:r w:rsidR="00124A87">
        <w:t>Parents living with disability</w:t>
      </w:r>
      <w:bookmarkEnd w:id="16"/>
    </w:p>
    <w:p w14:paraId="5E247694" w14:textId="77777777" w:rsidR="00730656" w:rsidRDefault="00730656" w:rsidP="00730656"/>
    <w:p w14:paraId="37E5EC20" w14:textId="54D88426" w:rsidR="00730656" w:rsidRDefault="00730656" w:rsidP="000E064B">
      <w:pPr>
        <w:jc w:val="both"/>
        <w:rPr>
          <w:rFonts w:ascii="Calibri" w:hAnsi="Calibri"/>
        </w:rPr>
      </w:pPr>
      <w:r>
        <w:rPr>
          <w:rFonts w:ascii="Calibri" w:hAnsi="Calibri"/>
        </w:rPr>
        <w:t xml:space="preserve">Proposal 10–13 </w:t>
      </w:r>
      <w:r w:rsidR="006352FB">
        <w:rPr>
          <w:rFonts w:ascii="Calibri" w:hAnsi="Calibri"/>
        </w:rPr>
        <w:t>states that t</w:t>
      </w:r>
      <w:r>
        <w:rPr>
          <w:rFonts w:ascii="Calibri" w:hAnsi="Calibri"/>
        </w:rPr>
        <w:t>he Family Law Act 1975 (</w:t>
      </w:r>
      <w:proofErr w:type="spellStart"/>
      <w:r>
        <w:rPr>
          <w:rFonts w:ascii="Calibri" w:hAnsi="Calibri"/>
        </w:rPr>
        <w:t>Cth</w:t>
      </w:r>
      <w:proofErr w:type="spellEnd"/>
      <w:r>
        <w:rPr>
          <w:rFonts w:ascii="Calibri" w:hAnsi="Calibri"/>
        </w:rPr>
        <w:t>) should provide that, where concerns are raised about the parenting ability of a person with disability in proceedings for parenting orders, a report writer with requisite skills should: · prepare a report for the court about the person’s parenting ability, including what supports could be provided to improve their parenting; and · make recommendations about how that person’s disability may, or may not, affect their parenting.</w:t>
      </w:r>
    </w:p>
    <w:p w14:paraId="0AA051BC" w14:textId="77777777" w:rsidR="00AB20B9" w:rsidRDefault="00AB20B9" w:rsidP="000E064B">
      <w:pPr>
        <w:jc w:val="both"/>
        <w:rPr>
          <w:rFonts w:ascii="Calibri" w:hAnsi="Calibri"/>
        </w:rPr>
      </w:pPr>
    </w:p>
    <w:p w14:paraId="436C3F10" w14:textId="2398FE65" w:rsidR="00730656" w:rsidRDefault="006352FB" w:rsidP="000E064B">
      <w:pPr>
        <w:jc w:val="both"/>
      </w:pPr>
      <w:r>
        <w:t xml:space="preserve">JFA </w:t>
      </w:r>
      <w:r w:rsidR="00730656">
        <w:t xml:space="preserve">Purple Orange strongly supports the fundamental rights of parents with a disability to live with and raise their children and to be able to access assistance from the community to parent successfully. This should include support for parents through the </w:t>
      </w:r>
      <w:r w:rsidR="00EF0701">
        <w:t>NDIS</w:t>
      </w:r>
      <w:r w:rsidR="00730656">
        <w:t>.</w:t>
      </w:r>
    </w:p>
    <w:p w14:paraId="2ABC1145" w14:textId="77777777" w:rsidR="00730656" w:rsidRDefault="00730656" w:rsidP="000E064B">
      <w:pPr>
        <w:jc w:val="both"/>
      </w:pPr>
    </w:p>
    <w:p w14:paraId="0BEF5059" w14:textId="03E9059D" w:rsidR="00730656" w:rsidRDefault="00730656" w:rsidP="000E064B">
      <w:pPr>
        <w:jc w:val="both"/>
      </w:pPr>
      <w:r>
        <w:t xml:space="preserve">In its report </w:t>
      </w:r>
      <w:proofErr w:type="gramStart"/>
      <w:r w:rsidRPr="00730656">
        <w:rPr>
          <w:i/>
        </w:rPr>
        <w:t>Whatever</w:t>
      </w:r>
      <w:proofErr w:type="gramEnd"/>
      <w:r w:rsidRPr="00730656">
        <w:rPr>
          <w:i/>
        </w:rPr>
        <w:t xml:space="preserve"> happened to the village, the removal of children from parents with a disability</w:t>
      </w:r>
      <w:r>
        <w:t>, the Victorian Office of the Public Advocate laments the fact that the provisions of the UN</w:t>
      </w:r>
      <w:r w:rsidR="00EF0701">
        <w:t>CRPD</w:t>
      </w:r>
      <w:r>
        <w:t xml:space="preserve"> ha</w:t>
      </w:r>
      <w:r w:rsidR="000134BB">
        <w:t>ve</w:t>
      </w:r>
      <w:r>
        <w:t xml:space="preserve"> not been translated into Australian law:</w:t>
      </w:r>
    </w:p>
    <w:p w14:paraId="76EA165C" w14:textId="77777777" w:rsidR="00730656" w:rsidRDefault="00730656" w:rsidP="000E064B">
      <w:pPr>
        <w:jc w:val="both"/>
      </w:pPr>
    </w:p>
    <w:p w14:paraId="0D68B1D3" w14:textId="77777777" w:rsidR="00730656" w:rsidRDefault="00730656" w:rsidP="000E064B">
      <w:pPr>
        <w:jc w:val="both"/>
      </w:pPr>
      <w:r>
        <w:t>“The CRPD provides for parental rights, including the rights of parents and children not to be separated against their will on the basis of a parent’s disability. However, the provisions of the CRPD in relation to parenting have not yet been translated into Australian law and policy on family law or child protection. It is commendable that, under the National Disability Insurance Scheme (NDIS), parents with disability will be eligible for support to fulfil their parenting roles.”</w:t>
      </w:r>
      <w:r w:rsidR="00AB20B9">
        <w:rPr>
          <w:rStyle w:val="FootnoteReference"/>
        </w:rPr>
        <w:footnoteReference w:id="17"/>
      </w:r>
    </w:p>
    <w:p w14:paraId="047A9C6F" w14:textId="77777777" w:rsidR="00AB20B9" w:rsidRDefault="00AB20B9" w:rsidP="000E064B">
      <w:pPr>
        <w:jc w:val="both"/>
      </w:pPr>
    </w:p>
    <w:p w14:paraId="6ED00B50" w14:textId="33368ABB" w:rsidR="00AB20B9" w:rsidRDefault="00AB20B9" w:rsidP="000E064B">
      <w:pPr>
        <w:jc w:val="both"/>
        <w:rPr>
          <w:shd w:val="clear" w:color="auto" w:fill="FFFFFF"/>
        </w:rPr>
      </w:pPr>
      <w:r>
        <w:t>The Family Law Act should be amended to fully implement the provisions of the UN</w:t>
      </w:r>
      <w:r w:rsidR="00EF0701">
        <w:t>CRPD</w:t>
      </w:r>
      <w:r>
        <w:t xml:space="preserve"> as it relates to parental rights. </w:t>
      </w:r>
      <w:r w:rsidR="007628D1">
        <w:t>In addition</w:t>
      </w:r>
      <w:r w:rsidR="006352FB">
        <w:t>,</w:t>
      </w:r>
      <w:r w:rsidR="007628D1">
        <w:t xml:space="preserve"> the Australian Government must ensure that </w:t>
      </w:r>
      <w:r w:rsidRPr="007628D1">
        <w:rPr>
          <w:shd w:val="clear" w:color="auto" w:fill="FFFFFF"/>
        </w:rPr>
        <w:t xml:space="preserve">parents </w:t>
      </w:r>
      <w:r w:rsidR="007628D1">
        <w:rPr>
          <w:shd w:val="clear" w:color="auto" w:fill="FFFFFF"/>
        </w:rPr>
        <w:t>living with disability have</w:t>
      </w:r>
      <w:r w:rsidRPr="007628D1">
        <w:rPr>
          <w:shd w:val="clear" w:color="auto" w:fill="FFFFFF"/>
        </w:rPr>
        <w:t xml:space="preserve"> an equal opportunity to participate in</w:t>
      </w:r>
      <w:r w:rsidR="00717AE5">
        <w:rPr>
          <w:shd w:val="clear" w:color="auto" w:fill="FFFFFF"/>
        </w:rPr>
        <w:t xml:space="preserve"> mainstream</w:t>
      </w:r>
      <w:r w:rsidRPr="007628D1">
        <w:rPr>
          <w:shd w:val="clear" w:color="auto" w:fill="FFFFFF"/>
        </w:rPr>
        <w:t xml:space="preserve"> </w:t>
      </w:r>
      <w:r w:rsidR="007628D1">
        <w:rPr>
          <w:shd w:val="clear" w:color="auto" w:fill="FFFFFF"/>
        </w:rPr>
        <w:t xml:space="preserve">parenting support </w:t>
      </w:r>
      <w:r w:rsidRPr="007628D1">
        <w:rPr>
          <w:shd w:val="clear" w:color="auto" w:fill="FFFFFF"/>
        </w:rPr>
        <w:t>programs, services, and activities</w:t>
      </w:r>
      <w:r w:rsidR="007628D1">
        <w:rPr>
          <w:shd w:val="clear" w:color="auto" w:fill="FFFFFF"/>
        </w:rPr>
        <w:t xml:space="preserve">. </w:t>
      </w:r>
    </w:p>
    <w:p w14:paraId="3E089525" w14:textId="77777777" w:rsidR="00EA11CB" w:rsidRDefault="00EA11CB" w:rsidP="00EA11CB">
      <w:pPr>
        <w:jc w:val="both"/>
      </w:pPr>
    </w:p>
    <w:p w14:paraId="6A4E7CC3" w14:textId="6E789E4A" w:rsidR="00EA11CB" w:rsidRDefault="00EA11CB" w:rsidP="00EA11CB">
      <w:pPr>
        <w:shd w:val="clear" w:color="auto" w:fill="D9D9D9" w:themeFill="background1" w:themeFillShade="D9"/>
        <w:jc w:val="both"/>
        <w:rPr>
          <w:b/>
          <w:color w:val="7030A0"/>
          <w:szCs w:val="22"/>
        </w:rPr>
      </w:pPr>
      <w:r w:rsidRPr="00ED559B">
        <w:rPr>
          <w:b/>
          <w:color w:val="7030A0"/>
          <w:szCs w:val="22"/>
        </w:rPr>
        <w:t>Recommendation</w:t>
      </w:r>
      <w:r>
        <w:rPr>
          <w:b/>
          <w:color w:val="7030A0"/>
          <w:szCs w:val="22"/>
        </w:rPr>
        <w:t xml:space="preserve"> </w:t>
      </w:r>
      <w:r w:rsidR="007C3086">
        <w:rPr>
          <w:b/>
          <w:color w:val="7030A0"/>
          <w:szCs w:val="22"/>
        </w:rPr>
        <w:t>8</w:t>
      </w:r>
    </w:p>
    <w:p w14:paraId="60153A40" w14:textId="77777777" w:rsidR="00EA11CB" w:rsidRDefault="00EA11CB" w:rsidP="00EA11CB">
      <w:pPr>
        <w:shd w:val="clear" w:color="auto" w:fill="D9D9D9" w:themeFill="background1" w:themeFillShade="D9"/>
        <w:jc w:val="both"/>
        <w:rPr>
          <w:b/>
          <w:color w:val="7030A0"/>
          <w:szCs w:val="22"/>
        </w:rPr>
      </w:pPr>
      <w:r>
        <w:t xml:space="preserve">The </w:t>
      </w:r>
      <w:r w:rsidRPr="008911BE">
        <w:rPr>
          <w:i/>
        </w:rPr>
        <w:t>Family Law Act 1975 (</w:t>
      </w:r>
      <w:proofErr w:type="spellStart"/>
      <w:r w:rsidRPr="008911BE">
        <w:rPr>
          <w:i/>
        </w:rPr>
        <w:t>Cth</w:t>
      </w:r>
      <w:proofErr w:type="spellEnd"/>
      <w:r w:rsidRPr="008911BE">
        <w:rPr>
          <w:i/>
        </w:rPr>
        <w:t>)</w:t>
      </w:r>
      <w:r>
        <w:t xml:space="preserve"> should be amended to fully implement the provisions of the United Nations Convention on the Rights of Persons with Disabilities as it relates to parental rights.</w:t>
      </w:r>
    </w:p>
    <w:p w14:paraId="7608681C" w14:textId="77777777" w:rsidR="006D609E" w:rsidRDefault="006D609E" w:rsidP="000E064B">
      <w:pPr>
        <w:jc w:val="both"/>
        <w:rPr>
          <w:shd w:val="clear" w:color="auto" w:fill="FFFFFF"/>
        </w:rPr>
      </w:pPr>
    </w:p>
    <w:p w14:paraId="765BD804" w14:textId="62AD6E08" w:rsidR="00B23FDE" w:rsidRDefault="00B23FDE" w:rsidP="000E064B">
      <w:pPr>
        <w:jc w:val="both"/>
        <w:rPr>
          <w:shd w:val="clear" w:color="auto" w:fill="FFFFFF"/>
        </w:rPr>
      </w:pPr>
      <w:r>
        <w:rPr>
          <w:shd w:val="clear" w:color="auto" w:fill="FFFFFF"/>
        </w:rPr>
        <w:t>As</w:t>
      </w:r>
      <w:r w:rsidR="00023420">
        <w:rPr>
          <w:shd w:val="clear" w:color="auto" w:fill="FFFFFF"/>
        </w:rPr>
        <w:t xml:space="preserve"> the</w:t>
      </w:r>
      <w:bookmarkStart w:id="17" w:name="_GoBack"/>
      <w:bookmarkEnd w:id="17"/>
      <w:r>
        <w:rPr>
          <w:shd w:val="clear" w:color="auto" w:fill="FFFFFF"/>
        </w:rPr>
        <w:t xml:space="preserve"> I</w:t>
      </w:r>
      <w:r w:rsidR="004A5998">
        <w:rPr>
          <w:shd w:val="clear" w:color="auto" w:fill="FFFFFF"/>
        </w:rPr>
        <w:t xml:space="preserve">ntellectual </w:t>
      </w:r>
      <w:r>
        <w:rPr>
          <w:shd w:val="clear" w:color="auto" w:fill="FFFFFF"/>
        </w:rPr>
        <w:t>D</w:t>
      </w:r>
      <w:r w:rsidR="004A5998">
        <w:rPr>
          <w:shd w:val="clear" w:color="auto" w:fill="FFFFFF"/>
        </w:rPr>
        <w:t xml:space="preserve">isability </w:t>
      </w:r>
      <w:r>
        <w:rPr>
          <w:shd w:val="clear" w:color="auto" w:fill="FFFFFF"/>
        </w:rPr>
        <w:t>R</w:t>
      </w:r>
      <w:r w:rsidR="004A5998">
        <w:rPr>
          <w:shd w:val="clear" w:color="auto" w:fill="FFFFFF"/>
        </w:rPr>
        <w:t xml:space="preserve">ights </w:t>
      </w:r>
      <w:r>
        <w:rPr>
          <w:shd w:val="clear" w:color="auto" w:fill="FFFFFF"/>
        </w:rPr>
        <w:t>S</w:t>
      </w:r>
      <w:r w:rsidR="004A5998">
        <w:rPr>
          <w:shd w:val="clear" w:color="auto" w:fill="FFFFFF"/>
        </w:rPr>
        <w:t>ervice (IDRS)</w:t>
      </w:r>
      <w:r>
        <w:rPr>
          <w:shd w:val="clear" w:color="auto" w:fill="FFFFFF"/>
        </w:rPr>
        <w:t xml:space="preserve"> </w:t>
      </w:r>
      <w:r w:rsidR="00637D93">
        <w:rPr>
          <w:shd w:val="clear" w:color="auto" w:fill="FFFFFF"/>
        </w:rPr>
        <w:t xml:space="preserve">in NSW </w:t>
      </w:r>
      <w:r>
        <w:rPr>
          <w:shd w:val="clear" w:color="auto" w:fill="FFFFFF"/>
        </w:rPr>
        <w:t>states on its website:</w:t>
      </w:r>
    </w:p>
    <w:p w14:paraId="3C7B163A" w14:textId="73F0985B" w:rsidR="00B23FDE" w:rsidRPr="00B23FDE" w:rsidRDefault="00B23FDE" w:rsidP="000E064B">
      <w:pPr>
        <w:pStyle w:val="NormalWeb"/>
        <w:spacing w:before="0" w:beforeAutospacing="0" w:after="300" w:afterAutospacing="0" w:line="360" w:lineRule="auto"/>
        <w:jc w:val="both"/>
        <w:rPr>
          <w:rFonts w:asciiTheme="minorHAnsi" w:eastAsiaTheme="minorHAnsi" w:hAnsiTheme="minorHAnsi" w:cstheme="minorBidi"/>
          <w:lang w:eastAsia="en-US"/>
        </w:rPr>
      </w:pPr>
      <w:r>
        <w:rPr>
          <w:rFonts w:asciiTheme="minorHAnsi" w:eastAsiaTheme="minorHAnsi" w:hAnsiTheme="minorHAnsi" w:cstheme="minorBidi"/>
          <w:lang w:eastAsia="en-US"/>
        </w:rPr>
        <w:t>“</w:t>
      </w:r>
      <w:r w:rsidRPr="00B23FDE">
        <w:rPr>
          <w:rFonts w:asciiTheme="minorHAnsi" w:eastAsiaTheme="minorHAnsi" w:hAnsiTheme="minorHAnsi" w:cstheme="minorBidi"/>
          <w:lang w:eastAsia="en-US"/>
        </w:rPr>
        <w:t>Parents with intellectual disability, like all parents, need the right support to parent effectively. Parents with intellectual disability may need more support than other parents, and it is important parents are linked with appropriate support services. Tailoring services to address the learning needs of people with intellectual disability greatly increases the likelihood that they will benefit from interventions.</w:t>
      </w:r>
    </w:p>
    <w:p w14:paraId="591083D0" w14:textId="77777777" w:rsidR="00B23FDE" w:rsidRPr="00B23FDE" w:rsidRDefault="00B23FDE" w:rsidP="000E064B">
      <w:pPr>
        <w:pStyle w:val="NormalWeb"/>
        <w:spacing w:before="0" w:beforeAutospacing="0" w:after="300" w:afterAutospacing="0" w:line="360" w:lineRule="auto"/>
        <w:jc w:val="both"/>
        <w:rPr>
          <w:rFonts w:asciiTheme="minorHAnsi" w:eastAsiaTheme="minorHAnsi" w:hAnsiTheme="minorHAnsi" w:cstheme="minorBidi"/>
          <w:lang w:eastAsia="en-US"/>
        </w:rPr>
      </w:pPr>
      <w:r w:rsidRPr="00B23FDE">
        <w:rPr>
          <w:rFonts w:asciiTheme="minorHAnsi" w:eastAsiaTheme="minorHAnsi" w:hAnsiTheme="minorHAnsi" w:cstheme="minorBidi"/>
          <w:lang w:eastAsia="en-US"/>
        </w:rPr>
        <w:lastRenderedPageBreak/>
        <w:t>This is very important when considering intervention for parents before the Children’s Court in care matters. There are very few specialised services for parents with intellectual disability. However, if practitioners understand how to tailor services, mainstream agencies can provide families with the assistance they need. Service providers need to take into account the particular learning needs of parents when designing and implementing services and programs.</w:t>
      </w:r>
      <w:r>
        <w:rPr>
          <w:rFonts w:asciiTheme="minorHAnsi" w:eastAsiaTheme="minorHAnsi" w:hAnsiTheme="minorHAnsi" w:cstheme="minorBidi"/>
          <w:lang w:eastAsia="en-US"/>
        </w:rPr>
        <w:t>”</w:t>
      </w:r>
      <w:r>
        <w:rPr>
          <w:rStyle w:val="FootnoteReference"/>
          <w:rFonts w:asciiTheme="minorHAnsi" w:eastAsiaTheme="minorHAnsi" w:hAnsiTheme="minorHAnsi" w:cstheme="minorBidi"/>
          <w:lang w:eastAsia="en-US"/>
        </w:rPr>
        <w:footnoteReference w:id="18"/>
      </w:r>
    </w:p>
    <w:p w14:paraId="699DAD1C" w14:textId="4E74E54D" w:rsidR="007628D1" w:rsidRPr="007628D1" w:rsidRDefault="006352FB" w:rsidP="000E064B">
      <w:pPr>
        <w:jc w:val="both"/>
      </w:pPr>
      <w:r>
        <w:rPr>
          <w:rFonts w:cs="Arial"/>
        </w:rPr>
        <w:t xml:space="preserve">JFA </w:t>
      </w:r>
      <w:r w:rsidR="00B23FDE">
        <w:rPr>
          <w:rFonts w:cs="Arial"/>
        </w:rPr>
        <w:t xml:space="preserve">Purple Orange recommends </w:t>
      </w:r>
      <w:r w:rsidR="007628D1">
        <w:rPr>
          <w:rFonts w:cs="Arial"/>
        </w:rPr>
        <w:t>investment i</w:t>
      </w:r>
      <w:r w:rsidR="00B23FDE">
        <w:rPr>
          <w:rFonts w:cs="Arial"/>
        </w:rPr>
        <w:t>n</w:t>
      </w:r>
      <w:r w:rsidR="007628D1">
        <w:rPr>
          <w:rFonts w:cs="Arial"/>
        </w:rPr>
        <w:t xml:space="preserve"> </w:t>
      </w:r>
      <w:r w:rsidR="007628D1" w:rsidRPr="007628D1">
        <w:rPr>
          <w:rFonts w:cs="Arial"/>
        </w:rPr>
        <w:t>peer-to-peer parenting</w:t>
      </w:r>
      <w:r w:rsidR="007628D1">
        <w:rPr>
          <w:rFonts w:cs="Arial"/>
        </w:rPr>
        <w:t xml:space="preserve"> support. Research in Sweden has shown that peer support is</w:t>
      </w:r>
      <w:r w:rsidR="007628D1" w:rsidRPr="007628D1">
        <w:rPr>
          <w:rFonts w:cs="Arial"/>
        </w:rPr>
        <w:t xml:space="preserve"> a valuable and appropriate source of support and help </w:t>
      </w:r>
      <w:r w:rsidR="007628D1">
        <w:rPr>
          <w:rFonts w:cs="Arial"/>
        </w:rPr>
        <w:t xml:space="preserve">for </w:t>
      </w:r>
      <w:r w:rsidR="007628D1" w:rsidRPr="007628D1">
        <w:rPr>
          <w:rFonts w:cs="Arial"/>
        </w:rPr>
        <w:t xml:space="preserve">parents who </w:t>
      </w:r>
      <w:r w:rsidR="007628D1">
        <w:rPr>
          <w:rFonts w:cs="Arial"/>
        </w:rPr>
        <w:t>live</w:t>
      </w:r>
      <w:r w:rsidR="007628D1" w:rsidRPr="007628D1">
        <w:rPr>
          <w:rFonts w:cs="Arial"/>
        </w:rPr>
        <w:t xml:space="preserve"> with disability</w:t>
      </w:r>
      <w:r w:rsidR="007628D1">
        <w:rPr>
          <w:rFonts w:ascii="Arial" w:hAnsi="Arial" w:cs="Arial"/>
          <w:color w:val="505050"/>
        </w:rPr>
        <w:t>. “</w:t>
      </w:r>
      <w:r w:rsidR="007628D1">
        <w:t xml:space="preserve">Peer support groups were thought to be beneficial for performance evaluation, exchange of information and coping with </w:t>
      </w:r>
      <w:r w:rsidR="00717AE5">
        <w:t xml:space="preserve">a </w:t>
      </w:r>
      <w:r w:rsidR="007628D1">
        <w:t>problem.”</w:t>
      </w:r>
      <w:r w:rsidR="007628D1">
        <w:rPr>
          <w:rStyle w:val="FootnoteReference"/>
        </w:rPr>
        <w:footnoteReference w:id="19"/>
      </w:r>
    </w:p>
    <w:p w14:paraId="6106F040" w14:textId="77777777" w:rsidR="00AB20B9" w:rsidRDefault="00AB20B9" w:rsidP="000E064B">
      <w:pPr>
        <w:jc w:val="both"/>
      </w:pPr>
    </w:p>
    <w:p w14:paraId="24D09ED5" w14:textId="245D6D5A" w:rsidR="00757DD6" w:rsidRDefault="00757DD6" w:rsidP="00757DD6">
      <w:pPr>
        <w:shd w:val="clear" w:color="auto" w:fill="D9D9D9" w:themeFill="background1" w:themeFillShade="D9"/>
        <w:jc w:val="both"/>
        <w:rPr>
          <w:b/>
          <w:color w:val="7030A0"/>
          <w:szCs w:val="22"/>
        </w:rPr>
      </w:pPr>
      <w:r w:rsidRPr="00ED559B">
        <w:rPr>
          <w:b/>
          <w:color w:val="7030A0"/>
          <w:szCs w:val="22"/>
        </w:rPr>
        <w:t>Recommendation</w:t>
      </w:r>
      <w:r>
        <w:rPr>
          <w:b/>
          <w:color w:val="7030A0"/>
          <w:szCs w:val="22"/>
        </w:rPr>
        <w:t xml:space="preserve"> </w:t>
      </w:r>
      <w:r w:rsidR="007C3086">
        <w:rPr>
          <w:b/>
          <w:color w:val="7030A0"/>
          <w:szCs w:val="22"/>
        </w:rPr>
        <w:t>9</w:t>
      </w:r>
    </w:p>
    <w:p w14:paraId="726A0B12" w14:textId="77777777" w:rsidR="00307A11" w:rsidRPr="00307A11" w:rsidRDefault="00307A11" w:rsidP="00757DD6">
      <w:pPr>
        <w:shd w:val="clear" w:color="auto" w:fill="D9D9D9" w:themeFill="background1" w:themeFillShade="D9"/>
        <w:jc w:val="both"/>
        <w:rPr>
          <w:szCs w:val="22"/>
        </w:rPr>
      </w:pPr>
      <w:r w:rsidRPr="00307A11">
        <w:rPr>
          <w:szCs w:val="22"/>
        </w:rPr>
        <w:t xml:space="preserve">That the ALRC proposes additional investment in peer supports for parents who live with disability </w:t>
      </w:r>
      <w:r>
        <w:rPr>
          <w:szCs w:val="22"/>
        </w:rPr>
        <w:t>as a mechanism for building parenting capacity when and if needed.</w:t>
      </w:r>
    </w:p>
    <w:p w14:paraId="6937AC7F" w14:textId="77777777" w:rsidR="00757DD6" w:rsidRDefault="00757DD6" w:rsidP="00757DD6">
      <w:pPr>
        <w:jc w:val="both"/>
      </w:pPr>
    </w:p>
    <w:p w14:paraId="17E160D3" w14:textId="77777777" w:rsidR="008B50E9" w:rsidRPr="00EF1DBF" w:rsidRDefault="00C23C74" w:rsidP="00F51298">
      <w:pPr>
        <w:pStyle w:val="Heading1"/>
        <w:spacing w:before="240" w:after="160"/>
        <w:ind w:left="357" w:hanging="357"/>
      </w:pPr>
      <w:bookmarkStart w:id="18" w:name="_Toc528576217"/>
      <w:bookmarkEnd w:id="0"/>
      <w:r w:rsidRPr="00EF1DBF">
        <w:t>Conclusion</w:t>
      </w:r>
      <w:bookmarkEnd w:id="18"/>
    </w:p>
    <w:p w14:paraId="3C4C4C94" w14:textId="609F2564" w:rsidR="00BA1205" w:rsidRDefault="006352FB" w:rsidP="00A63F06">
      <w:pPr>
        <w:spacing w:after="240"/>
        <w:jc w:val="both"/>
      </w:pPr>
      <w:r>
        <w:t xml:space="preserve">JFA </w:t>
      </w:r>
      <w:r w:rsidR="002C3159" w:rsidRPr="002C3159">
        <w:t xml:space="preserve">Purple Orange appreciates the opportunity to provide comment on </w:t>
      </w:r>
      <w:r w:rsidR="00F503F2">
        <w:t>the Australian Law Reform Commission’s Discussion Paper on the Review of the Family Law System.</w:t>
      </w:r>
      <w:r w:rsidR="002C3159">
        <w:t xml:space="preserve">  </w:t>
      </w:r>
    </w:p>
    <w:p w14:paraId="5622A002" w14:textId="2DD58C55" w:rsidR="002719DF" w:rsidRDefault="006352FB" w:rsidP="00A63F06">
      <w:pPr>
        <w:autoSpaceDE w:val="0"/>
        <w:autoSpaceDN w:val="0"/>
        <w:adjustRightInd w:val="0"/>
        <w:jc w:val="both"/>
        <w:rPr>
          <w:rFonts w:cs="Arial"/>
          <w:color w:val="000000"/>
        </w:rPr>
      </w:pPr>
      <w:r>
        <w:rPr>
          <w:rFonts w:cs="Arial"/>
          <w:color w:val="000000"/>
        </w:rPr>
        <w:t>We</w:t>
      </w:r>
      <w:r w:rsidR="002C0D98">
        <w:rPr>
          <w:rFonts w:cs="Arial"/>
          <w:color w:val="000000"/>
        </w:rPr>
        <w:t xml:space="preserve"> believe</w:t>
      </w:r>
      <w:r w:rsidR="002719DF" w:rsidRPr="002719DF">
        <w:rPr>
          <w:rFonts w:cs="Arial"/>
          <w:color w:val="000000"/>
        </w:rPr>
        <w:t xml:space="preserve"> that successful families come in all shapes and sizes, and of course include families where there is a family member living with disability. It is not helpful to assume that a family must struggle simply because a family member lives with disability. </w:t>
      </w:r>
    </w:p>
    <w:p w14:paraId="1C5DACB3" w14:textId="77777777" w:rsidR="000134BB" w:rsidRPr="002719DF" w:rsidRDefault="000134BB" w:rsidP="00A63F06">
      <w:pPr>
        <w:autoSpaceDE w:val="0"/>
        <w:autoSpaceDN w:val="0"/>
        <w:adjustRightInd w:val="0"/>
        <w:jc w:val="both"/>
        <w:rPr>
          <w:rFonts w:cs="Arial"/>
          <w:color w:val="000000"/>
        </w:rPr>
      </w:pPr>
    </w:p>
    <w:p w14:paraId="09614931" w14:textId="77777777" w:rsidR="002719DF" w:rsidRDefault="002719DF" w:rsidP="00A63F06">
      <w:pPr>
        <w:autoSpaceDE w:val="0"/>
        <w:autoSpaceDN w:val="0"/>
        <w:adjustRightInd w:val="0"/>
        <w:jc w:val="both"/>
        <w:rPr>
          <w:rFonts w:cs="Arial"/>
          <w:color w:val="000000"/>
        </w:rPr>
      </w:pPr>
      <w:r w:rsidRPr="002719DF">
        <w:rPr>
          <w:rFonts w:cs="Arial"/>
          <w:color w:val="000000"/>
        </w:rPr>
        <w:t>All families learn together and grow together. Families that include a person living with disability may at times need assistance on that journey, such as through information</w:t>
      </w:r>
      <w:r>
        <w:rPr>
          <w:rFonts w:cs="Arial"/>
          <w:color w:val="000000"/>
        </w:rPr>
        <w:t>, capacity building,</w:t>
      </w:r>
      <w:r w:rsidR="00EB3856">
        <w:rPr>
          <w:rFonts w:cs="Arial"/>
          <w:color w:val="000000"/>
        </w:rPr>
        <w:t xml:space="preserve"> leadership, </w:t>
      </w:r>
      <w:r w:rsidRPr="002719DF">
        <w:rPr>
          <w:rFonts w:cs="Arial"/>
          <w:color w:val="000000"/>
        </w:rPr>
        <w:t xml:space="preserve">planning </w:t>
      </w:r>
      <w:r w:rsidR="00EB3856">
        <w:rPr>
          <w:rFonts w:cs="Arial"/>
          <w:color w:val="000000"/>
        </w:rPr>
        <w:t xml:space="preserve">and peer </w:t>
      </w:r>
      <w:r w:rsidRPr="002719DF">
        <w:rPr>
          <w:rFonts w:cs="Arial"/>
          <w:color w:val="000000"/>
        </w:rPr>
        <w:t xml:space="preserve">support. </w:t>
      </w:r>
    </w:p>
    <w:p w14:paraId="50B70773" w14:textId="77777777" w:rsidR="000134BB" w:rsidRDefault="000134BB" w:rsidP="00A63F06">
      <w:pPr>
        <w:autoSpaceDE w:val="0"/>
        <w:autoSpaceDN w:val="0"/>
        <w:adjustRightInd w:val="0"/>
        <w:jc w:val="both"/>
        <w:rPr>
          <w:rFonts w:cs="Arial"/>
          <w:color w:val="000000"/>
        </w:rPr>
      </w:pPr>
    </w:p>
    <w:p w14:paraId="744195D1" w14:textId="57AADAEE" w:rsidR="00CE30F2" w:rsidRPr="002719DF" w:rsidRDefault="00CE30F2" w:rsidP="00A63F06">
      <w:pPr>
        <w:autoSpaceDE w:val="0"/>
        <w:autoSpaceDN w:val="0"/>
        <w:adjustRightInd w:val="0"/>
        <w:jc w:val="both"/>
        <w:rPr>
          <w:rFonts w:cs="Arial"/>
          <w:color w:val="000000"/>
        </w:rPr>
      </w:pPr>
      <w:r w:rsidRPr="00CE30F2">
        <w:lastRenderedPageBreak/>
        <w:t>People living with disability and family members are the best experts in understanding their own needs and aspirations,</w:t>
      </w:r>
      <w:r>
        <w:t xml:space="preserve"> and therefore should be central to the continuing co-design of a new </w:t>
      </w:r>
      <w:r w:rsidR="006352FB">
        <w:t>f</w:t>
      </w:r>
      <w:r>
        <w:t xml:space="preserve">amily </w:t>
      </w:r>
      <w:r w:rsidR="006352FB">
        <w:t>l</w:t>
      </w:r>
      <w:r>
        <w:t>aw system.</w:t>
      </w:r>
    </w:p>
    <w:p w14:paraId="131D7BE6" w14:textId="77777777" w:rsidR="00CE30F2" w:rsidRDefault="00CE30F2" w:rsidP="00A63F06">
      <w:pPr>
        <w:jc w:val="both"/>
        <w:rPr>
          <w:rFonts w:cstheme="minorHAnsi"/>
        </w:rPr>
      </w:pPr>
    </w:p>
    <w:p w14:paraId="6D26DB87" w14:textId="77777777" w:rsidR="001C3F43" w:rsidRDefault="00645A1A" w:rsidP="00A63F06">
      <w:pPr>
        <w:jc w:val="both"/>
        <w:rPr>
          <w:rFonts w:cstheme="minorHAnsi"/>
        </w:rPr>
      </w:pPr>
      <w:r w:rsidRPr="004947F1">
        <w:rPr>
          <w:rFonts w:cstheme="minorHAnsi"/>
        </w:rPr>
        <w:t>W</w:t>
      </w:r>
      <w:r w:rsidRPr="001C774B">
        <w:rPr>
          <w:rFonts w:cstheme="minorHAnsi"/>
        </w:rPr>
        <w:t xml:space="preserve">e would welcome the opportunity to meet with the </w:t>
      </w:r>
      <w:r w:rsidR="00283212">
        <w:rPr>
          <w:rFonts w:cstheme="minorHAnsi"/>
        </w:rPr>
        <w:t xml:space="preserve">Australian Law Reform </w:t>
      </w:r>
      <w:r>
        <w:rPr>
          <w:rFonts w:cstheme="minorHAnsi"/>
        </w:rPr>
        <w:t>Commission</w:t>
      </w:r>
      <w:r w:rsidRPr="001C774B">
        <w:rPr>
          <w:rFonts w:cstheme="minorHAnsi"/>
        </w:rPr>
        <w:t xml:space="preserve"> to discuss the su</w:t>
      </w:r>
      <w:r>
        <w:rPr>
          <w:rFonts w:cstheme="minorHAnsi"/>
        </w:rPr>
        <w:t>b</w:t>
      </w:r>
      <w:r w:rsidRPr="001C774B">
        <w:rPr>
          <w:rFonts w:cstheme="minorHAnsi"/>
        </w:rPr>
        <w:t>mission contents in more detail.</w:t>
      </w:r>
    </w:p>
    <w:sectPr w:rsidR="001C3F43" w:rsidSect="007B206E">
      <w:footerReference w:type="default" r:id="rId13"/>
      <w:footerReference w:type="first" r:id="rId14"/>
      <w:pgSz w:w="11906" w:h="16838"/>
      <w:pgMar w:top="1440" w:right="1440" w:bottom="1440" w:left="1440"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D538B5" w15:done="0"/>
  <w15:commentEx w15:paraId="3B268DE3" w15:done="0"/>
  <w15:commentEx w15:paraId="411568A9" w15:paraIdParent="3B268DE3" w15:done="0"/>
  <w15:commentEx w15:paraId="52ED2DDA" w15:done="0"/>
  <w15:commentEx w15:paraId="65EB8210" w15:done="0"/>
  <w15:commentEx w15:paraId="2785904C" w15:done="0"/>
  <w15:commentEx w15:paraId="5D7A6B3E" w15:done="0"/>
  <w15:commentEx w15:paraId="3C99FF5C" w15:done="0"/>
  <w15:commentEx w15:paraId="032C070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C7B0F" w14:textId="77777777" w:rsidR="008911BE" w:rsidRDefault="008911BE" w:rsidP="00D003C5">
      <w:r>
        <w:separator/>
      </w:r>
    </w:p>
    <w:p w14:paraId="2DF9A8D2" w14:textId="77777777" w:rsidR="008911BE" w:rsidRDefault="008911BE" w:rsidP="00D003C5"/>
    <w:p w14:paraId="5DCE46DF" w14:textId="77777777" w:rsidR="008911BE" w:rsidRDefault="008911BE" w:rsidP="00D003C5"/>
  </w:endnote>
  <w:endnote w:type="continuationSeparator" w:id="0">
    <w:p w14:paraId="07C4D82F" w14:textId="77777777" w:rsidR="008911BE" w:rsidRDefault="008911BE" w:rsidP="00D003C5">
      <w:r>
        <w:continuationSeparator/>
      </w:r>
    </w:p>
    <w:p w14:paraId="25A63E92" w14:textId="77777777" w:rsidR="008911BE" w:rsidRDefault="008911BE" w:rsidP="00D003C5"/>
    <w:p w14:paraId="75BB230E" w14:textId="77777777" w:rsidR="008911BE" w:rsidRDefault="008911BE" w:rsidP="00D00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1043831"/>
      <w:docPartObj>
        <w:docPartGallery w:val="Page Numbers (Bottom of Page)"/>
        <w:docPartUnique/>
      </w:docPartObj>
    </w:sdtPr>
    <w:sdtEndPr>
      <w:rPr>
        <w:noProof/>
      </w:rPr>
    </w:sdtEndPr>
    <w:sdtContent>
      <w:p w14:paraId="38010FE7" w14:textId="0CD900CE" w:rsidR="007B206E" w:rsidRDefault="007B206E">
        <w:pPr>
          <w:pStyle w:val="Footer"/>
          <w:jc w:val="center"/>
        </w:pPr>
        <w:r>
          <w:fldChar w:fldCharType="begin"/>
        </w:r>
        <w:r>
          <w:instrText xml:space="preserve"> PAGE   \* MERGEFORMAT </w:instrText>
        </w:r>
        <w:r>
          <w:fldChar w:fldCharType="separate"/>
        </w:r>
        <w:r w:rsidR="00714EED">
          <w:rPr>
            <w:noProof/>
          </w:rPr>
          <w:t>3</w:t>
        </w:r>
        <w:r>
          <w:rPr>
            <w:noProof/>
          </w:rPr>
          <w:fldChar w:fldCharType="end"/>
        </w:r>
      </w:p>
    </w:sdtContent>
  </w:sdt>
  <w:p w14:paraId="0A4E3C8C" w14:textId="77777777" w:rsidR="008911BE" w:rsidRPr="00064882" w:rsidRDefault="008911BE" w:rsidP="00D003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D90F5" w14:textId="2DFBE897" w:rsidR="007B206E" w:rsidRDefault="007B206E">
    <w:pPr>
      <w:pStyle w:val="Footer"/>
      <w:jc w:val="center"/>
    </w:pPr>
  </w:p>
  <w:p w14:paraId="4BF9F735" w14:textId="77777777" w:rsidR="007B206E" w:rsidRDefault="007B20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9469D" w14:textId="77777777" w:rsidR="008911BE" w:rsidRDefault="008911BE" w:rsidP="00D003C5">
      <w:r>
        <w:separator/>
      </w:r>
    </w:p>
  </w:footnote>
  <w:footnote w:type="continuationSeparator" w:id="0">
    <w:p w14:paraId="705C2140" w14:textId="77777777" w:rsidR="008911BE" w:rsidRDefault="008911BE" w:rsidP="00D003C5">
      <w:r>
        <w:continuationSeparator/>
      </w:r>
    </w:p>
    <w:p w14:paraId="197476A2" w14:textId="77777777" w:rsidR="008911BE" w:rsidRDefault="008911BE" w:rsidP="00D003C5"/>
    <w:p w14:paraId="23F7EB5C" w14:textId="77777777" w:rsidR="008911BE" w:rsidRDefault="008911BE" w:rsidP="00D003C5"/>
  </w:footnote>
  <w:footnote w:id="1">
    <w:p w14:paraId="6458268A" w14:textId="77777777" w:rsidR="008911BE" w:rsidRDefault="008911BE" w:rsidP="00F8337B">
      <w:pPr>
        <w:pStyle w:val="FootnoteText"/>
      </w:pPr>
      <w:r>
        <w:rPr>
          <w:rStyle w:val="FootnoteReference"/>
        </w:rPr>
        <w:footnoteRef/>
      </w:r>
      <w:r>
        <w:t xml:space="preserve"> </w:t>
      </w:r>
      <w:r w:rsidRPr="00472CD5">
        <w:rPr>
          <w:sz w:val="18"/>
          <w:szCs w:val="18"/>
        </w:rPr>
        <w:t xml:space="preserve">Williams, R. (2013), </w:t>
      </w:r>
      <w:r w:rsidRPr="00472CD5">
        <w:rPr>
          <w:i/>
          <w:iCs/>
          <w:sz w:val="18"/>
          <w:szCs w:val="18"/>
        </w:rPr>
        <w:t xml:space="preserve">Model of </w:t>
      </w:r>
      <w:proofErr w:type="spellStart"/>
      <w:r w:rsidRPr="00472CD5">
        <w:rPr>
          <w:i/>
          <w:iCs/>
          <w:sz w:val="18"/>
          <w:szCs w:val="18"/>
        </w:rPr>
        <w:t>Citizenhood</w:t>
      </w:r>
      <w:proofErr w:type="spellEnd"/>
      <w:r w:rsidRPr="00472CD5">
        <w:rPr>
          <w:i/>
          <w:iCs/>
          <w:sz w:val="18"/>
          <w:szCs w:val="18"/>
        </w:rPr>
        <w:t xml:space="preserve"> Support: 2nd edition, </w:t>
      </w:r>
      <w:r w:rsidRPr="00472CD5">
        <w:rPr>
          <w:sz w:val="18"/>
          <w:szCs w:val="18"/>
        </w:rPr>
        <w:t xml:space="preserve">Julia Farr Association </w:t>
      </w:r>
      <w:proofErr w:type="spellStart"/>
      <w:r w:rsidRPr="00472CD5">
        <w:rPr>
          <w:sz w:val="18"/>
          <w:szCs w:val="18"/>
        </w:rPr>
        <w:t>Inc</w:t>
      </w:r>
      <w:proofErr w:type="spellEnd"/>
      <w:r w:rsidRPr="00472CD5">
        <w:rPr>
          <w:sz w:val="18"/>
          <w:szCs w:val="18"/>
        </w:rPr>
        <w:t xml:space="preserve">, </w:t>
      </w:r>
      <w:r>
        <w:rPr>
          <w:sz w:val="18"/>
          <w:szCs w:val="18"/>
        </w:rPr>
        <w:t>Adelaide.</w:t>
      </w:r>
      <w:r w:rsidRPr="00527A14">
        <w:t xml:space="preserve">  </w:t>
      </w:r>
    </w:p>
    <w:p w14:paraId="24CB7512" w14:textId="77777777" w:rsidR="008911BE" w:rsidRPr="00527A14" w:rsidRDefault="008911BE" w:rsidP="00F8337B">
      <w:pPr>
        <w:pStyle w:val="FootnoteText"/>
        <w:rPr>
          <w:lang w:val="en-US"/>
        </w:rPr>
      </w:pPr>
    </w:p>
  </w:footnote>
  <w:footnote w:id="2">
    <w:p w14:paraId="2C56ED76" w14:textId="77777777" w:rsidR="008911BE" w:rsidRPr="004970C8" w:rsidRDefault="008911BE">
      <w:pPr>
        <w:pStyle w:val="FootnoteText"/>
        <w:rPr>
          <w:sz w:val="18"/>
          <w:szCs w:val="18"/>
          <w:lang w:val="en-US"/>
        </w:rPr>
      </w:pPr>
      <w:r w:rsidRPr="004970C8">
        <w:rPr>
          <w:rStyle w:val="FootnoteReference"/>
          <w:sz w:val="18"/>
          <w:szCs w:val="18"/>
        </w:rPr>
        <w:footnoteRef/>
      </w:r>
      <w:r w:rsidRPr="004970C8">
        <w:rPr>
          <w:sz w:val="18"/>
          <w:szCs w:val="18"/>
        </w:rPr>
        <w:t xml:space="preserve"> UN General Assembly, Convention on the Rights of the Child, 20 November 198, Treaty Series, </w:t>
      </w:r>
      <w:proofErr w:type="spellStart"/>
      <w:r w:rsidRPr="004970C8">
        <w:rPr>
          <w:sz w:val="18"/>
          <w:szCs w:val="18"/>
        </w:rPr>
        <w:t>vol</w:t>
      </w:r>
      <w:proofErr w:type="spellEnd"/>
      <w:r w:rsidRPr="004970C8">
        <w:rPr>
          <w:sz w:val="18"/>
          <w:szCs w:val="18"/>
        </w:rPr>
        <w:t xml:space="preserve"> 1577, p.3 http://www.un.org/documents/ga/res/44/a44r025.htm</w:t>
      </w:r>
    </w:p>
  </w:footnote>
  <w:footnote w:id="3">
    <w:p w14:paraId="1DE08B01" w14:textId="16A13070" w:rsidR="008911BE" w:rsidRPr="004970C8" w:rsidRDefault="008911BE">
      <w:pPr>
        <w:pStyle w:val="FootnoteText"/>
        <w:rPr>
          <w:sz w:val="18"/>
          <w:szCs w:val="18"/>
          <w:lang w:val="en-US"/>
        </w:rPr>
      </w:pPr>
      <w:r w:rsidRPr="004970C8">
        <w:rPr>
          <w:rStyle w:val="FootnoteReference"/>
          <w:sz w:val="18"/>
          <w:szCs w:val="18"/>
        </w:rPr>
        <w:footnoteRef/>
      </w:r>
      <w:r w:rsidRPr="004970C8">
        <w:rPr>
          <w:sz w:val="18"/>
          <w:szCs w:val="18"/>
        </w:rPr>
        <w:t xml:space="preserve"> Australia’s Combined Second and Third Periodic Report under the Convention on the Rights of Persons with Disabilities September 2018</w:t>
      </w:r>
    </w:p>
  </w:footnote>
  <w:footnote w:id="4">
    <w:p w14:paraId="4A41759C" w14:textId="77777777" w:rsidR="008911BE" w:rsidRPr="004970C8" w:rsidRDefault="008911BE">
      <w:pPr>
        <w:pStyle w:val="FootnoteText"/>
        <w:rPr>
          <w:sz w:val="18"/>
          <w:szCs w:val="18"/>
          <w:lang w:val="en-US"/>
        </w:rPr>
      </w:pPr>
      <w:r w:rsidRPr="004970C8">
        <w:rPr>
          <w:rStyle w:val="FootnoteReference"/>
          <w:sz w:val="18"/>
          <w:szCs w:val="18"/>
        </w:rPr>
        <w:footnoteRef/>
      </w:r>
      <w:r w:rsidRPr="004970C8">
        <w:rPr>
          <w:sz w:val="18"/>
          <w:szCs w:val="18"/>
        </w:rPr>
        <w:t xml:space="preserve"> https://www.ccyp.com.au/wp-content/uploads/2018/08/Family-Law-Report-Final-27-08-18.pdf</w:t>
      </w:r>
    </w:p>
  </w:footnote>
  <w:footnote w:id="5">
    <w:p w14:paraId="6174D7EE" w14:textId="63795AFA" w:rsidR="008911BE" w:rsidRDefault="008911BE" w:rsidP="004B5F52">
      <w:pPr>
        <w:pStyle w:val="FootnoteText"/>
        <w:rPr>
          <w:sz w:val="18"/>
          <w:szCs w:val="18"/>
        </w:rPr>
      </w:pPr>
      <w:r w:rsidRPr="004970C8">
        <w:rPr>
          <w:rStyle w:val="FootnoteReference"/>
          <w:sz w:val="18"/>
          <w:szCs w:val="18"/>
        </w:rPr>
        <w:footnoteRef/>
      </w:r>
      <w:r w:rsidRPr="004970C8">
        <w:rPr>
          <w:sz w:val="18"/>
          <w:szCs w:val="18"/>
        </w:rPr>
        <w:t xml:space="preserve"> </w:t>
      </w:r>
      <w:hyperlink r:id="rId1" w:history="1">
        <w:r w:rsidR="0064193C" w:rsidRPr="009E57F5">
          <w:rPr>
            <w:rStyle w:val="Hyperlink"/>
            <w:sz w:val="18"/>
            <w:szCs w:val="18"/>
          </w:rPr>
          <w:t>http://www.wdv.org.au/documents/WDV%20Violence%20Position%20Paper%20(web%20version).pdf</w:t>
        </w:r>
      </w:hyperlink>
    </w:p>
    <w:p w14:paraId="45FCFCAC" w14:textId="77777777" w:rsidR="0064193C" w:rsidRPr="004970C8" w:rsidRDefault="0064193C" w:rsidP="004B5F52">
      <w:pPr>
        <w:pStyle w:val="FootnoteText"/>
        <w:rPr>
          <w:sz w:val="18"/>
          <w:szCs w:val="18"/>
          <w:lang w:val="en-US"/>
        </w:rPr>
      </w:pPr>
    </w:p>
  </w:footnote>
  <w:footnote w:id="6">
    <w:p w14:paraId="43167BED" w14:textId="08997F52" w:rsidR="00893D75" w:rsidRDefault="00893D75">
      <w:pPr>
        <w:pStyle w:val="FootnoteText"/>
      </w:pPr>
      <w:r>
        <w:rPr>
          <w:rStyle w:val="FootnoteReference"/>
        </w:rPr>
        <w:footnoteRef/>
      </w:r>
      <w:r>
        <w:t xml:space="preserve"> </w:t>
      </w:r>
      <w:hyperlink r:id="rId2" w:history="1">
        <w:r w:rsidRPr="009E57F5">
          <w:rPr>
            <w:rStyle w:val="Hyperlink"/>
          </w:rPr>
          <w:t>https://lsc.sa.gov.au/cb_pages/rights_on_show.php</w:t>
        </w:r>
      </w:hyperlink>
    </w:p>
    <w:p w14:paraId="6507A5B1" w14:textId="77777777" w:rsidR="00893D75" w:rsidRPr="00893D75" w:rsidRDefault="00893D75">
      <w:pPr>
        <w:pStyle w:val="FootnoteText"/>
        <w:rPr>
          <w:lang w:val="en-US"/>
        </w:rPr>
      </w:pPr>
    </w:p>
  </w:footnote>
  <w:footnote w:id="7">
    <w:p w14:paraId="4C49D01E" w14:textId="77777777" w:rsidR="008911BE" w:rsidRPr="00467425" w:rsidRDefault="008911BE" w:rsidP="003607C5">
      <w:pPr>
        <w:pStyle w:val="FootnoteText"/>
        <w:rPr>
          <w:lang w:val="en-US"/>
        </w:rPr>
      </w:pPr>
      <w:r>
        <w:rPr>
          <w:rStyle w:val="FootnoteReference"/>
        </w:rPr>
        <w:footnoteRef/>
      </w:r>
      <w:r>
        <w:t xml:space="preserve"> </w:t>
      </w:r>
      <w:r w:rsidRPr="004970C8">
        <w:rPr>
          <w:sz w:val="18"/>
          <w:szCs w:val="18"/>
        </w:rPr>
        <w:t>https://www.ccyp.com.au/wp-content/uploads/2018/08/Family-Law-Report-Final-27-08-18.pdf</w:t>
      </w:r>
    </w:p>
  </w:footnote>
  <w:footnote w:id="8">
    <w:p w14:paraId="16893DAA" w14:textId="77777777" w:rsidR="008911BE" w:rsidRPr="002719DF" w:rsidRDefault="008911BE">
      <w:pPr>
        <w:pStyle w:val="FootnoteText"/>
        <w:rPr>
          <w:lang w:val="en-US"/>
        </w:rPr>
      </w:pPr>
      <w:r>
        <w:rPr>
          <w:rStyle w:val="FootnoteReference"/>
        </w:rPr>
        <w:footnoteRef/>
      </w:r>
      <w:r>
        <w:t xml:space="preserve"> </w:t>
      </w:r>
      <w:r w:rsidRPr="002719DF">
        <w:rPr>
          <w:sz w:val="18"/>
          <w:szCs w:val="18"/>
        </w:rPr>
        <w:t>The Julia Farr A</w:t>
      </w:r>
      <w:r>
        <w:rPr>
          <w:sz w:val="18"/>
          <w:szCs w:val="18"/>
        </w:rPr>
        <w:t>ssociation</w:t>
      </w:r>
      <w:r w:rsidRPr="002719DF">
        <w:rPr>
          <w:sz w:val="18"/>
          <w:szCs w:val="18"/>
        </w:rPr>
        <w:t xml:space="preserve"> submission to the Australian Law Reform Commi</w:t>
      </w:r>
      <w:r>
        <w:rPr>
          <w:sz w:val="18"/>
          <w:szCs w:val="18"/>
        </w:rPr>
        <w:t>ssion’s Family Violence Inquiry 2010</w:t>
      </w:r>
    </w:p>
  </w:footnote>
  <w:footnote w:id="9">
    <w:p w14:paraId="2A0F64EC" w14:textId="52C3B900" w:rsidR="008911BE" w:rsidRPr="002719DF" w:rsidRDefault="008911BE">
      <w:pPr>
        <w:pStyle w:val="FootnoteText"/>
        <w:rPr>
          <w:lang w:val="en-US"/>
        </w:rPr>
      </w:pPr>
      <w:r>
        <w:rPr>
          <w:rStyle w:val="FootnoteReference"/>
        </w:rPr>
        <w:footnoteRef/>
      </w:r>
      <w:r>
        <w:t xml:space="preserve"> Australian Law Reform Commission 2010, </w:t>
      </w:r>
      <w:r>
        <w:rPr>
          <w:i/>
          <w:iCs/>
        </w:rPr>
        <w:t xml:space="preserve">Family violence: Improving legal frameworks, </w:t>
      </w:r>
      <w:r>
        <w:t xml:space="preserve">ALRC, Sydney NSW, p. 214, </w:t>
      </w:r>
      <w:r>
        <w:rPr>
          <w:color w:val="0000FF"/>
        </w:rPr>
        <w:t>http://www.alrc.gov.au/inquiries/current/family-violence/CPS1/CollatedSummaryPaper.pdf</w:t>
      </w:r>
      <w:r>
        <w:t xml:space="preserve">  </w:t>
      </w:r>
    </w:p>
  </w:footnote>
  <w:footnote w:id="10">
    <w:p w14:paraId="2B9F741F" w14:textId="77777777" w:rsidR="008911BE" w:rsidRPr="004970C8" w:rsidRDefault="008911BE" w:rsidP="00387E48">
      <w:pPr>
        <w:pStyle w:val="Header"/>
        <w:rPr>
          <w:rFonts w:eastAsia="SimSun"/>
          <w:sz w:val="18"/>
          <w:szCs w:val="18"/>
        </w:rPr>
      </w:pPr>
      <w:r w:rsidRPr="004970C8">
        <w:rPr>
          <w:rStyle w:val="FootnoteReference"/>
          <w:sz w:val="18"/>
          <w:szCs w:val="18"/>
        </w:rPr>
        <w:footnoteRef/>
      </w:r>
      <w:r w:rsidRPr="004970C8">
        <w:rPr>
          <w:sz w:val="18"/>
          <w:szCs w:val="18"/>
        </w:rPr>
        <w:t xml:space="preserve"> </w:t>
      </w:r>
      <w:r w:rsidRPr="004970C8">
        <w:rPr>
          <w:rFonts w:eastAsia="SimSun"/>
          <w:i/>
          <w:iCs/>
          <w:sz w:val="18"/>
          <w:szCs w:val="18"/>
        </w:rPr>
        <w:t>Family Law Council - Family Violence Committee: An advice on the intersection of family violence and family law issues Dec 2009</w:t>
      </w:r>
    </w:p>
    <w:p w14:paraId="1F36A08E" w14:textId="77777777" w:rsidR="008911BE" w:rsidRPr="004970C8" w:rsidRDefault="008911BE">
      <w:pPr>
        <w:pStyle w:val="FootnoteText"/>
        <w:rPr>
          <w:sz w:val="18"/>
          <w:szCs w:val="18"/>
          <w:lang w:val="en-US"/>
        </w:rPr>
      </w:pPr>
    </w:p>
  </w:footnote>
  <w:footnote w:id="11">
    <w:p w14:paraId="18DA4611" w14:textId="56FF1F4D" w:rsidR="008911BE" w:rsidRDefault="008911BE" w:rsidP="004B5F52">
      <w:pPr>
        <w:pStyle w:val="FootnoteText"/>
        <w:rPr>
          <w:sz w:val="18"/>
          <w:szCs w:val="18"/>
        </w:rPr>
      </w:pPr>
      <w:r w:rsidRPr="004970C8">
        <w:rPr>
          <w:rStyle w:val="FootnoteReference"/>
          <w:sz w:val="18"/>
          <w:szCs w:val="18"/>
        </w:rPr>
        <w:footnoteRef/>
      </w:r>
      <w:r w:rsidRPr="004970C8">
        <w:rPr>
          <w:sz w:val="18"/>
          <w:szCs w:val="18"/>
        </w:rPr>
        <w:t xml:space="preserve"> </w:t>
      </w:r>
      <w:hyperlink r:id="rId3" w:history="1">
        <w:r w:rsidR="004E5758" w:rsidRPr="009E57F5">
          <w:rPr>
            <w:rStyle w:val="Hyperlink"/>
            <w:sz w:val="18"/>
            <w:szCs w:val="18"/>
          </w:rPr>
          <w:t>https://www.who.int/disabilities/violence/en/</w:t>
        </w:r>
      </w:hyperlink>
    </w:p>
    <w:p w14:paraId="21AC2899" w14:textId="77777777" w:rsidR="004E5758" w:rsidRPr="00196A10" w:rsidRDefault="004E5758" w:rsidP="004B5F52">
      <w:pPr>
        <w:pStyle w:val="FootnoteText"/>
        <w:rPr>
          <w:lang w:val="en-US"/>
        </w:rPr>
      </w:pPr>
    </w:p>
  </w:footnote>
  <w:footnote w:id="12">
    <w:p w14:paraId="6150B515" w14:textId="77777777" w:rsidR="008911BE" w:rsidRPr="00892ACA" w:rsidRDefault="008911BE" w:rsidP="00D12DD2">
      <w:pPr>
        <w:pStyle w:val="FootnoteText"/>
        <w:rPr>
          <w:lang w:val="en-US"/>
        </w:rPr>
      </w:pPr>
      <w:r>
        <w:rPr>
          <w:rStyle w:val="FootnoteReference"/>
        </w:rPr>
        <w:footnoteRef/>
      </w:r>
      <w:r>
        <w:t xml:space="preserve"> </w:t>
      </w:r>
      <w:r w:rsidRPr="00892ACA">
        <w:rPr>
          <w:sz w:val="18"/>
          <w:szCs w:val="18"/>
          <w:lang w:val="en-US"/>
        </w:rPr>
        <w:t>La Trobe University Living with Disability Research Centre: The process of supported decision making: learning from the experiences of people with intellectual disabilities and their supporters in Canada.</w:t>
      </w:r>
    </w:p>
  </w:footnote>
  <w:footnote w:id="13">
    <w:p w14:paraId="3ACF2942" w14:textId="77777777" w:rsidR="008911BE" w:rsidRDefault="008911BE" w:rsidP="00941E69">
      <w:pPr>
        <w:pStyle w:val="FootnoteText"/>
      </w:pPr>
      <w:r w:rsidRPr="004970C8">
        <w:rPr>
          <w:rStyle w:val="FootnoteReference"/>
          <w:sz w:val="18"/>
          <w:szCs w:val="18"/>
        </w:rPr>
        <w:footnoteRef/>
      </w:r>
      <w:r w:rsidRPr="004970C8">
        <w:rPr>
          <w:sz w:val="18"/>
          <w:szCs w:val="18"/>
        </w:rPr>
        <w:t xml:space="preserve"> </w:t>
      </w:r>
      <w:proofErr w:type="gramStart"/>
      <w:r w:rsidRPr="004970C8">
        <w:rPr>
          <w:sz w:val="18"/>
          <w:szCs w:val="18"/>
        </w:rPr>
        <w:t xml:space="preserve">COAG (Council of Australian Governments) (2009), </w:t>
      </w:r>
      <w:r w:rsidRPr="004970C8">
        <w:rPr>
          <w:i/>
          <w:sz w:val="18"/>
          <w:szCs w:val="18"/>
        </w:rPr>
        <w:t xml:space="preserve">National Disability Agreement, </w:t>
      </w:r>
      <w:r w:rsidRPr="004970C8">
        <w:rPr>
          <w:sz w:val="18"/>
          <w:szCs w:val="18"/>
        </w:rPr>
        <w:t>p 22, Canberra.</w:t>
      </w:r>
      <w:proofErr w:type="gramEnd"/>
    </w:p>
  </w:footnote>
  <w:footnote w:id="14">
    <w:p w14:paraId="386E9089" w14:textId="77777777" w:rsidR="008911BE" w:rsidRPr="004970C8" w:rsidRDefault="008911BE" w:rsidP="00941E69">
      <w:pPr>
        <w:pStyle w:val="FootnoteText"/>
        <w:rPr>
          <w:sz w:val="18"/>
          <w:szCs w:val="18"/>
        </w:rPr>
      </w:pPr>
      <w:r>
        <w:rPr>
          <w:rStyle w:val="FootnoteReference"/>
        </w:rPr>
        <w:footnoteRef/>
      </w:r>
      <w:r>
        <w:t xml:space="preserve"> </w:t>
      </w:r>
      <w:proofErr w:type="gramStart"/>
      <w:r w:rsidRPr="004970C8">
        <w:rPr>
          <w:sz w:val="18"/>
          <w:szCs w:val="18"/>
        </w:rPr>
        <w:t xml:space="preserve">COAG (Council of Australian Governments) (2009), </w:t>
      </w:r>
      <w:r w:rsidRPr="004970C8">
        <w:rPr>
          <w:i/>
          <w:sz w:val="18"/>
          <w:szCs w:val="18"/>
        </w:rPr>
        <w:t xml:space="preserve">National Disability Agreement, </w:t>
      </w:r>
      <w:r w:rsidRPr="004970C8">
        <w:rPr>
          <w:sz w:val="18"/>
          <w:szCs w:val="18"/>
        </w:rPr>
        <w:t>p 49, Canberra.</w:t>
      </w:r>
      <w:proofErr w:type="gramEnd"/>
    </w:p>
  </w:footnote>
  <w:footnote w:id="15">
    <w:p w14:paraId="04AB9D28" w14:textId="77777777" w:rsidR="008911BE" w:rsidRPr="004970C8" w:rsidRDefault="008911BE" w:rsidP="00941E69">
      <w:pPr>
        <w:pStyle w:val="FootnoteText"/>
        <w:rPr>
          <w:sz w:val="18"/>
          <w:szCs w:val="18"/>
        </w:rPr>
      </w:pPr>
      <w:r w:rsidRPr="004970C8">
        <w:rPr>
          <w:rStyle w:val="FootnoteReference"/>
          <w:sz w:val="18"/>
          <w:szCs w:val="18"/>
        </w:rPr>
        <w:footnoteRef/>
      </w:r>
      <w:r w:rsidRPr="004970C8">
        <w:rPr>
          <w:sz w:val="18"/>
          <w:szCs w:val="18"/>
        </w:rPr>
        <w:t xml:space="preserve"> See </w:t>
      </w:r>
      <w:proofErr w:type="gramStart"/>
      <w:r w:rsidRPr="004970C8">
        <w:rPr>
          <w:sz w:val="18"/>
          <w:szCs w:val="18"/>
        </w:rPr>
        <w:t>ss7.12(</w:t>
      </w:r>
      <w:proofErr w:type="gramEnd"/>
      <w:r w:rsidRPr="004970C8">
        <w:rPr>
          <w:sz w:val="18"/>
          <w:szCs w:val="18"/>
        </w:rPr>
        <w:t xml:space="preserve">b) of the </w:t>
      </w:r>
      <w:r w:rsidRPr="004970C8">
        <w:rPr>
          <w:i/>
          <w:sz w:val="18"/>
          <w:szCs w:val="18"/>
        </w:rPr>
        <w:t>NDIS (Supports for Participants) Rules 2013</w:t>
      </w:r>
      <w:r w:rsidRPr="004970C8">
        <w:rPr>
          <w:sz w:val="18"/>
          <w:szCs w:val="18"/>
        </w:rPr>
        <w:t xml:space="preserve"> and </w:t>
      </w:r>
      <w:hyperlink r:id="rId4" w:history="1">
        <w:r w:rsidRPr="004970C8">
          <w:rPr>
            <w:rStyle w:val="Hyperlink"/>
            <w:sz w:val="18"/>
            <w:szCs w:val="18"/>
          </w:rPr>
          <w:t>https://www.ndis.gov.au/families-carers/family-supports.html</w:t>
        </w:r>
      </w:hyperlink>
      <w:r w:rsidRPr="004970C8">
        <w:rPr>
          <w:sz w:val="18"/>
          <w:szCs w:val="18"/>
        </w:rPr>
        <w:t>.</w:t>
      </w:r>
    </w:p>
    <w:p w14:paraId="46B8C2A6" w14:textId="77777777" w:rsidR="008911BE" w:rsidRDefault="008911BE" w:rsidP="00941E69">
      <w:pPr>
        <w:pStyle w:val="FootnoteText"/>
      </w:pPr>
    </w:p>
  </w:footnote>
  <w:footnote w:id="16">
    <w:p w14:paraId="6C6FE2E3" w14:textId="109EB518" w:rsidR="008911BE" w:rsidRDefault="008911BE">
      <w:pPr>
        <w:pStyle w:val="FootnoteText"/>
        <w:rPr>
          <w:sz w:val="18"/>
          <w:szCs w:val="18"/>
        </w:rPr>
      </w:pPr>
      <w:r w:rsidRPr="000134BB">
        <w:rPr>
          <w:rStyle w:val="FootnoteReference"/>
          <w:sz w:val="18"/>
          <w:szCs w:val="18"/>
        </w:rPr>
        <w:footnoteRef/>
      </w:r>
      <w:r w:rsidRPr="000134BB">
        <w:rPr>
          <w:sz w:val="18"/>
          <w:szCs w:val="18"/>
        </w:rPr>
        <w:t xml:space="preserve"> </w:t>
      </w:r>
      <w:hyperlink r:id="rId5" w:history="1">
        <w:r w:rsidR="000F35D3" w:rsidRPr="009E57F5">
          <w:rPr>
            <w:rStyle w:val="Hyperlink"/>
            <w:sz w:val="18"/>
            <w:szCs w:val="18"/>
          </w:rPr>
          <w:t>http://dvvic.org.au/_wordpress/wp-content/uploads/2018/05/Review-of-the-Family-Law-System_Issues-Paper_Domestic-Violence-Victoria_14.5.18.pdf</w:t>
        </w:r>
      </w:hyperlink>
    </w:p>
    <w:p w14:paraId="2B193DAB" w14:textId="77777777" w:rsidR="000F35D3" w:rsidRPr="00A37D31" w:rsidRDefault="000F35D3">
      <w:pPr>
        <w:pStyle w:val="FootnoteText"/>
        <w:rPr>
          <w:lang w:val="en-US"/>
        </w:rPr>
      </w:pPr>
    </w:p>
  </w:footnote>
  <w:footnote w:id="17">
    <w:p w14:paraId="39104035" w14:textId="77777777" w:rsidR="008911BE" w:rsidRPr="007628D1" w:rsidRDefault="008911BE">
      <w:pPr>
        <w:pStyle w:val="FootnoteText"/>
        <w:rPr>
          <w:sz w:val="18"/>
          <w:szCs w:val="18"/>
          <w:lang w:val="en-US"/>
        </w:rPr>
      </w:pPr>
      <w:r w:rsidRPr="007628D1">
        <w:rPr>
          <w:rStyle w:val="FootnoteReference"/>
          <w:sz w:val="18"/>
          <w:szCs w:val="18"/>
        </w:rPr>
        <w:footnoteRef/>
      </w:r>
      <w:r w:rsidRPr="007628D1">
        <w:rPr>
          <w:sz w:val="18"/>
          <w:szCs w:val="18"/>
        </w:rPr>
        <w:t xml:space="preserve"> </w:t>
      </w:r>
      <w:r w:rsidRPr="007628D1">
        <w:rPr>
          <w:i/>
          <w:sz w:val="18"/>
          <w:szCs w:val="18"/>
        </w:rPr>
        <w:t>Whatever happened to the village, the removal of children from parents with a disability</w:t>
      </w:r>
      <w:r w:rsidRPr="007628D1">
        <w:rPr>
          <w:sz w:val="18"/>
          <w:szCs w:val="18"/>
        </w:rPr>
        <w:t>, the Victorian Office of the Public Advocate 2013</w:t>
      </w:r>
    </w:p>
  </w:footnote>
  <w:footnote w:id="18">
    <w:p w14:paraId="3F7C0C4B" w14:textId="77777777" w:rsidR="008911BE" w:rsidRPr="004D5E3C" w:rsidRDefault="008911BE">
      <w:pPr>
        <w:pStyle w:val="FootnoteText"/>
        <w:rPr>
          <w:sz w:val="18"/>
          <w:szCs w:val="18"/>
          <w:lang w:val="en-US"/>
        </w:rPr>
      </w:pPr>
      <w:r>
        <w:rPr>
          <w:rStyle w:val="FootnoteReference"/>
        </w:rPr>
        <w:footnoteRef/>
      </w:r>
      <w:r>
        <w:t xml:space="preserve"> </w:t>
      </w:r>
      <w:r w:rsidRPr="004D5E3C">
        <w:rPr>
          <w:sz w:val="18"/>
          <w:szCs w:val="18"/>
        </w:rPr>
        <w:t>https://idrs.org.au/what-we-do/parents-with-disability/lawyers</w:t>
      </w:r>
    </w:p>
  </w:footnote>
  <w:footnote w:id="19">
    <w:p w14:paraId="14F06753" w14:textId="77777777" w:rsidR="008911BE" w:rsidRPr="007628D1" w:rsidRDefault="008911BE">
      <w:pPr>
        <w:pStyle w:val="FootnoteText"/>
        <w:rPr>
          <w:lang w:val="en-US"/>
        </w:rPr>
      </w:pPr>
      <w:r w:rsidRPr="007628D1">
        <w:rPr>
          <w:rStyle w:val="FootnoteReference"/>
          <w:sz w:val="18"/>
          <w:szCs w:val="18"/>
        </w:rPr>
        <w:footnoteRef/>
      </w:r>
      <w:r w:rsidRPr="007628D1">
        <w:rPr>
          <w:sz w:val="18"/>
          <w:szCs w:val="18"/>
        </w:rPr>
        <w:t xml:space="preserve"> Mc Hugh, E. (2015). Implementing a program for parents with intellectual disability: Peer support as an interactive support system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45F5B"/>
    <w:multiLevelType w:val="hybridMultilevel"/>
    <w:tmpl w:val="DB7EE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121F17"/>
    <w:multiLevelType w:val="multilevel"/>
    <w:tmpl w:val="5D304EB6"/>
    <w:styleLink w:val="PWDANumbered"/>
    <w:lvl w:ilvl="0">
      <w:start w:val="1"/>
      <w:numFmt w:val="decimal"/>
      <w:pStyle w:val="NumberedMultiList"/>
      <w:lvlText w:val="%1."/>
      <w:lvlJc w:val="left"/>
      <w:pPr>
        <w:ind w:left="454" w:hanging="454"/>
      </w:pPr>
    </w:lvl>
    <w:lvl w:ilvl="1">
      <w:start w:val="1"/>
      <w:numFmt w:val="lowerLetter"/>
      <w:lvlText w:val="%2."/>
      <w:lvlJc w:val="left"/>
      <w:pPr>
        <w:ind w:left="908" w:hanging="454"/>
      </w:pPr>
    </w:lvl>
    <w:lvl w:ilvl="2">
      <w:start w:val="1"/>
      <w:numFmt w:val="lowerRoman"/>
      <w:lvlText w:val="%3."/>
      <w:lvlJc w:val="left"/>
      <w:pPr>
        <w:ind w:left="1362" w:hanging="454"/>
      </w:pPr>
    </w:lvl>
    <w:lvl w:ilvl="3">
      <w:start w:val="1"/>
      <w:numFmt w:val="decimal"/>
      <w:lvlText w:val="(%4)"/>
      <w:lvlJc w:val="left"/>
      <w:pPr>
        <w:ind w:left="1816" w:hanging="454"/>
      </w:pPr>
    </w:lvl>
    <w:lvl w:ilvl="4">
      <w:start w:val="1"/>
      <w:numFmt w:val="lowerLetter"/>
      <w:lvlText w:val="(%5)"/>
      <w:lvlJc w:val="left"/>
      <w:pPr>
        <w:ind w:left="2270" w:hanging="454"/>
      </w:pPr>
    </w:lvl>
    <w:lvl w:ilvl="5">
      <w:start w:val="1"/>
      <w:numFmt w:val="lowerRoman"/>
      <w:lvlText w:val="(%6)"/>
      <w:lvlJc w:val="left"/>
      <w:pPr>
        <w:ind w:left="2724" w:hanging="454"/>
      </w:pPr>
    </w:lvl>
    <w:lvl w:ilvl="6">
      <w:start w:val="1"/>
      <w:numFmt w:val="decimal"/>
      <w:lvlText w:val="%7."/>
      <w:lvlJc w:val="left"/>
      <w:pPr>
        <w:ind w:left="3178" w:hanging="454"/>
      </w:pPr>
    </w:lvl>
    <w:lvl w:ilvl="7">
      <w:start w:val="1"/>
      <w:numFmt w:val="lowerLetter"/>
      <w:lvlText w:val="%8."/>
      <w:lvlJc w:val="left"/>
      <w:pPr>
        <w:ind w:left="3632" w:hanging="454"/>
      </w:pPr>
    </w:lvl>
    <w:lvl w:ilvl="8">
      <w:start w:val="1"/>
      <w:numFmt w:val="lowerRoman"/>
      <w:lvlText w:val="%9."/>
      <w:lvlJc w:val="left"/>
      <w:pPr>
        <w:ind w:left="4086" w:hanging="454"/>
      </w:pPr>
    </w:lvl>
  </w:abstractNum>
  <w:abstractNum w:abstractNumId="2">
    <w:nsid w:val="09F06DF5"/>
    <w:multiLevelType w:val="multilevel"/>
    <w:tmpl w:val="FD043F62"/>
    <w:lvl w:ilvl="0">
      <w:start w:val="1"/>
      <w:numFmt w:val="decimal"/>
      <w:pStyle w:val="Heading1"/>
      <w:lvlText w:val="%1."/>
      <w:lvlJc w:val="left"/>
      <w:pPr>
        <w:ind w:left="360" w:hanging="360"/>
      </w:pPr>
    </w:lvl>
    <w:lvl w:ilvl="1">
      <w:start w:val="1"/>
      <w:numFmt w:val="decimal"/>
      <w:pStyle w:val="Heading2"/>
      <w:lvlText w:val="%1.%2."/>
      <w:lvlJc w:val="left"/>
      <w:pPr>
        <w:ind w:left="1141"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70F1BA0"/>
    <w:multiLevelType w:val="hybridMultilevel"/>
    <w:tmpl w:val="59F0E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3FA97A32"/>
    <w:multiLevelType w:val="hybridMultilevel"/>
    <w:tmpl w:val="BC1ADD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71E0A88"/>
    <w:multiLevelType w:val="hybridMultilevel"/>
    <w:tmpl w:val="E9E80F5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7">
    <w:nsid w:val="56425A22"/>
    <w:multiLevelType w:val="hybridMultilevel"/>
    <w:tmpl w:val="1C66C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B934536"/>
    <w:multiLevelType w:val="hybridMultilevel"/>
    <w:tmpl w:val="638EB6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0444257"/>
    <w:multiLevelType w:val="hybridMultilevel"/>
    <w:tmpl w:val="88BAB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A35142E"/>
    <w:multiLevelType w:val="hybridMultilevel"/>
    <w:tmpl w:val="C5B09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C3D0D00"/>
    <w:multiLevelType w:val="hybridMultilevel"/>
    <w:tmpl w:val="37DA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6"/>
  </w:num>
  <w:num w:numId="5">
    <w:abstractNumId w:val="3"/>
  </w:num>
  <w:num w:numId="6">
    <w:abstractNumId w:val="2"/>
  </w:num>
  <w:num w:numId="7">
    <w:abstractNumId w:val="2"/>
  </w:num>
  <w:num w:numId="8">
    <w:abstractNumId w:val="2"/>
  </w:num>
  <w:num w:numId="9">
    <w:abstractNumId w:val="2"/>
  </w:num>
  <w:num w:numId="10">
    <w:abstractNumId w:val="2"/>
  </w:num>
  <w:num w:numId="11">
    <w:abstractNumId w:val="2"/>
  </w:num>
  <w:num w:numId="12">
    <w:abstractNumId w:val="0"/>
  </w:num>
  <w:num w:numId="13">
    <w:abstractNumId w:val="2"/>
  </w:num>
  <w:num w:numId="14">
    <w:abstractNumId w:val="2"/>
  </w:num>
  <w:num w:numId="15">
    <w:abstractNumId w:val="2"/>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num>
  <w:num w:numId="19">
    <w:abstractNumId w:val="9"/>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1"/>
  </w:num>
  <w:num w:numId="23">
    <w:abstractNumId w:val="5"/>
  </w:num>
  <w:numIdMacAtCleanup w:val="5"/>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acey Wallace">
    <w15:presenceInfo w15:providerId="AD" w15:userId="S-1-5-21-3571484353-2630718116-3008633843-1215"/>
  </w15:person>
  <w15:person w15:author="Rebecca Dowd">
    <w15:presenceInfo w15:providerId="AD" w15:userId="S-1-5-21-3571484353-2630718116-3008633843-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568D6C2-2D96-4B00-B604-4E0AB7AA1C37}"/>
    <w:docVar w:name="dgnword-eventsink" w:val="42484960"/>
  </w:docVars>
  <w:rsids>
    <w:rsidRoot w:val="00CC3462"/>
    <w:rsid w:val="00002191"/>
    <w:rsid w:val="000040A8"/>
    <w:rsid w:val="00006EE5"/>
    <w:rsid w:val="00007F60"/>
    <w:rsid w:val="00007FD5"/>
    <w:rsid w:val="00012F79"/>
    <w:rsid w:val="000131DE"/>
    <w:rsid w:val="000134BB"/>
    <w:rsid w:val="000163ED"/>
    <w:rsid w:val="00021138"/>
    <w:rsid w:val="00023420"/>
    <w:rsid w:val="000312B4"/>
    <w:rsid w:val="00031484"/>
    <w:rsid w:val="00031DC9"/>
    <w:rsid w:val="00032809"/>
    <w:rsid w:val="0003413D"/>
    <w:rsid w:val="0003500E"/>
    <w:rsid w:val="000358CA"/>
    <w:rsid w:val="00036E48"/>
    <w:rsid w:val="00037BFC"/>
    <w:rsid w:val="00041253"/>
    <w:rsid w:val="00041375"/>
    <w:rsid w:val="00041A4A"/>
    <w:rsid w:val="00041DCE"/>
    <w:rsid w:val="000430D0"/>
    <w:rsid w:val="00043ED2"/>
    <w:rsid w:val="000514CA"/>
    <w:rsid w:val="000534CB"/>
    <w:rsid w:val="00062016"/>
    <w:rsid w:val="00064882"/>
    <w:rsid w:val="00064F7C"/>
    <w:rsid w:val="00064FDD"/>
    <w:rsid w:val="00065AA0"/>
    <w:rsid w:val="00070B6F"/>
    <w:rsid w:val="00073758"/>
    <w:rsid w:val="00080099"/>
    <w:rsid w:val="0008442C"/>
    <w:rsid w:val="0008482E"/>
    <w:rsid w:val="00084D45"/>
    <w:rsid w:val="00086170"/>
    <w:rsid w:val="00087506"/>
    <w:rsid w:val="00087ADD"/>
    <w:rsid w:val="000916A5"/>
    <w:rsid w:val="000928A0"/>
    <w:rsid w:val="0009379F"/>
    <w:rsid w:val="00094AD0"/>
    <w:rsid w:val="00095385"/>
    <w:rsid w:val="000A052C"/>
    <w:rsid w:val="000A08FC"/>
    <w:rsid w:val="000A19EA"/>
    <w:rsid w:val="000A21B9"/>
    <w:rsid w:val="000A2EEF"/>
    <w:rsid w:val="000A3184"/>
    <w:rsid w:val="000A390E"/>
    <w:rsid w:val="000A4A1B"/>
    <w:rsid w:val="000A532A"/>
    <w:rsid w:val="000A5BAB"/>
    <w:rsid w:val="000A793C"/>
    <w:rsid w:val="000B404E"/>
    <w:rsid w:val="000B4228"/>
    <w:rsid w:val="000B4A99"/>
    <w:rsid w:val="000B7B95"/>
    <w:rsid w:val="000C1726"/>
    <w:rsid w:val="000C3303"/>
    <w:rsid w:val="000C773D"/>
    <w:rsid w:val="000D017D"/>
    <w:rsid w:val="000D251B"/>
    <w:rsid w:val="000D31F1"/>
    <w:rsid w:val="000D4830"/>
    <w:rsid w:val="000D4F9E"/>
    <w:rsid w:val="000D68B9"/>
    <w:rsid w:val="000D6C49"/>
    <w:rsid w:val="000D76EE"/>
    <w:rsid w:val="000E043F"/>
    <w:rsid w:val="000E064B"/>
    <w:rsid w:val="000E2A60"/>
    <w:rsid w:val="000E4E56"/>
    <w:rsid w:val="000E6342"/>
    <w:rsid w:val="000F1C9E"/>
    <w:rsid w:val="000F1EC2"/>
    <w:rsid w:val="000F35D3"/>
    <w:rsid w:val="000F5A0E"/>
    <w:rsid w:val="000F630B"/>
    <w:rsid w:val="00101590"/>
    <w:rsid w:val="00102B54"/>
    <w:rsid w:val="001056B6"/>
    <w:rsid w:val="00106AE2"/>
    <w:rsid w:val="00107772"/>
    <w:rsid w:val="00111FCE"/>
    <w:rsid w:val="001121D0"/>
    <w:rsid w:val="001143FF"/>
    <w:rsid w:val="00117034"/>
    <w:rsid w:val="00124A87"/>
    <w:rsid w:val="00124F06"/>
    <w:rsid w:val="00126548"/>
    <w:rsid w:val="001270AE"/>
    <w:rsid w:val="00127774"/>
    <w:rsid w:val="00131F96"/>
    <w:rsid w:val="001320E6"/>
    <w:rsid w:val="0013395E"/>
    <w:rsid w:val="00135885"/>
    <w:rsid w:val="001368C6"/>
    <w:rsid w:val="00141A10"/>
    <w:rsid w:val="001424AD"/>
    <w:rsid w:val="00143086"/>
    <w:rsid w:val="00143A9D"/>
    <w:rsid w:val="0014753E"/>
    <w:rsid w:val="00147750"/>
    <w:rsid w:val="00152DE1"/>
    <w:rsid w:val="0015471A"/>
    <w:rsid w:val="00155D76"/>
    <w:rsid w:val="00161887"/>
    <w:rsid w:val="0016382C"/>
    <w:rsid w:val="001646C1"/>
    <w:rsid w:val="00165235"/>
    <w:rsid w:val="001673C9"/>
    <w:rsid w:val="0017060B"/>
    <w:rsid w:val="00170C8A"/>
    <w:rsid w:val="00174E68"/>
    <w:rsid w:val="00177C77"/>
    <w:rsid w:val="00181133"/>
    <w:rsid w:val="001818FF"/>
    <w:rsid w:val="00185CAF"/>
    <w:rsid w:val="00186AE5"/>
    <w:rsid w:val="00187FE5"/>
    <w:rsid w:val="001915F8"/>
    <w:rsid w:val="001923FE"/>
    <w:rsid w:val="00196A10"/>
    <w:rsid w:val="00196B9B"/>
    <w:rsid w:val="00197F68"/>
    <w:rsid w:val="001A0334"/>
    <w:rsid w:val="001A0685"/>
    <w:rsid w:val="001B12B1"/>
    <w:rsid w:val="001B35A4"/>
    <w:rsid w:val="001B4B53"/>
    <w:rsid w:val="001B4D9A"/>
    <w:rsid w:val="001B524E"/>
    <w:rsid w:val="001B5FF5"/>
    <w:rsid w:val="001B68C5"/>
    <w:rsid w:val="001C150E"/>
    <w:rsid w:val="001C1AD1"/>
    <w:rsid w:val="001C1F59"/>
    <w:rsid w:val="001C36A6"/>
    <w:rsid w:val="001C3F43"/>
    <w:rsid w:val="001C5B31"/>
    <w:rsid w:val="001D09AD"/>
    <w:rsid w:val="001D3682"/>
    <w:rsid w:val="001D38AF"/>
    <w:rsid w:val="001D3C3D"/>
    <w:rsid w:val="001D45BD"/>
    <w:rsid w:val="001E2EB4"/>
    <w:rsid w:val="001E4C1A"/>
    <w:rsid w:val="001E5EEC"/>
    <w:rsid w:val="001F237A"/>
    <w:rsid w:val="001F3B49"/>
    <w:rsid w:val="001F4DD1"/>
    <w:rsid w:val="001F7B5C"/>
    <w:rsid w:val="00200D26"/>
    <w:rsid w:val="00205267"/>
    <w:rsid w:val="0020566C"/>
    <w:rsid w:val="0020581C"/>
    <w:rsid w:val="00210EFE"/>
    <w:rsid w:val="00215EE0"/>
    <w:rsid w:val="002200B9"/>
    <w:rsid w:val="00220B5B"/>
    <w:rsid w:val="00221108"/>
    <w:rsid w:val="00221151"/>
    <w:rsid w:val="00221AEE"/>
    <w:rsid w:val="002266E8"/>
    <w:rsid w:val="00227B6D"/>
    <w:rsid w:val="00233408"/>
    <w:rsid w:val="0023466A"/>
    <w:rsid w:val="00235344"/>
    <w:rsid w:val="002356A5"/>
    <w:rsid w:val="002359D3"/>
    <w:rsid w:val="0023685D"/>
    <w:rsid w:val="002377ED"/>
    <w:rsid w:val="0023795A"/>
    <w:rsid w:val="002379C3"/>
    <w:rsid w:val="00244C7B"/>
    <w:rsid w:val="00246953"/>
    <w:rsid w:val="0024778C"/>
    <w:rsid w:val="00251D0F"/>
    <w:rsid w:val="00252B8F"/>
    <w:rsid w:val="00253D6E"/>
    <w:rsid w:val="00253DB9"/>
    <w:rsid w:val="002553CD"/>
    <w:rsid w:val="00255903"/>
    <w:rsid w:val="00257CDB"/>
    <w:rsid w:val="00260AA9"/>
    <w:rsid w:val="00261C07"/>
    <w:rsid w:val="00263414"/>
    <w:rsid w:val="00263F95"/>
    <w:rsid w:val="002657F4"/>
    <w:rsid w:val="00265CD2"/>
    <w:rsid w:val="00266C07"/>
    <w:rsid w:val="0026735F"/>
    <w:rsid w:val="00267F68"/>
    <w:rsid w:val="002719DF"/>
    <w:rsid w:val="00272916"/>
    <w:rsid w:val="00273B07"/>
    <w:rsid w:val="00273EA8"/>
    <w:rsid w:val="00274061"/>
    <w:rsid w:val="002740A3"/>
    <w:rsid w:val="0027466B"/>
    <w:rsid w:val="0027533E"/>
    <w:rsid w:val="002754F9"/>
    <w:rsid w:val="00275E88"/>
    <w:rsid w:val="002761C0"/>
    <w:rsid w:val="00276509"/>
    <w:rsid w:val="00276A8A"/>
    <w:rsid w:val="002778B1"/>
    <w:rsid w:val="0028007B"/>
    <w:rsid w:val="00281060"/>
    <w:rsid w:val="002820AA"/>
    <w:rsid w:val="002827FF"/>
    <w:rsid w:val="00283212"/>
    <w:rsid w:val="00283A49"/>
    <w:rsid w:val="0028418D"/>
    <w:rsid w:val="0028488A"/>
    <w:rsid w:val="00284A02"/>
    <w:rsid w:val="002857DB"/>
    <w:rsid w:val="002916EF"/>
    <w:rsid w:val="00293337"/>
    <w:rsid w:val="00293EF8"/>
    <w:rsid w:val="002948E9"/>
    <w:rsid w:val="00294F28"/>
    <w:rsid w:val="002953F2"/>
    <w:rsid w:val="00295891"/>
    <w:rsid w:val="00296269"/>
    <w:rsid w:val="002A0F91"/>
    <w:rsid w:val="002A6D28"/>
    <w:rsid w:val="002A78C3"/>
    <w:rsid w:val="002B26CC"/>
    <w:rsid w:val="002B2D15"/>
    <w:rsid w:val="002B3B88"/>
    <w:rsid w:val="002B3D28"/>
    <w:rsid w:val="002B414D"/>
    <w:rsid w:val="002B6111"/>
    <w:rsid w:val="002C0D98"/>
    <w:rsid w:val="002C1BAF"/>
    <w:rsid w:val="002C1CD1"/>
    <w:rsid w:val="002C1E38"/>
    <w:rsid w:val="002C3159"/>
    <w:rsid w:val="002C7AAE"/>
    <w:rsid w:val="002C7B01"/>
    <w:rsid w:val="002D014D"/>
    <w:rsid w:val="002D05EE"/>
    <w:rsid w:val="002D24D5"/>
    <w:rsid w:val="002D35F6"/>
    <w:rsid w:val="002D41E2"/>
    <w:rsid w:val="002D49E8"/>
    <w:rsid w:val="002D69DF"/>
    <w:rsid w:val="002D744C"/>
    <w:rsid w:val="002E0D5F"/>
    <w:rsid w:val="002E13CB"/>
    <w:rsid w:val="002E16E7"/>
    <w:rsid w:val="002E17A4"/>
    <w:rsid w:val="002E2846"/>
    <w:rsid w:val="002E3F11"/>
    <w:rsid w:val="002E45C9"/>
    <w:rsid w:val="002E6A61"/>
    <w:rsid w:val="002E7AFC"/>
    <w:rsid w:val="002F03C2"/>
    <w:rsid w:val="002F0947"/>
    <w:rsid w:val="002F1E95"/>
    <w:rsid w:val="002F26C4"/>
    <w:rsid w:val="002F3576"/>
    <w:rsid w:val="002F3A0E"/>
    <w:rsid w:val="002F5C13"/>
    <w:rsid w:val="003017C2"/>
    <w:rsid w:val="00301CEA"/>
    <w:rsid w:val="003023A4"/>
    <w:rsid w:val="003069F7"/>
    <w:rsid w:val="00307A11"/>
    <w:rsid w:val="00307DB7"/>
    <w:rsid w:val="0031387C"/>
    <w:rsid w:val="003170D9"/>
    <w:rsid w:val="00321582"/>
    <w:rsid w:val="00323DA2"/>
    <w:rsid w:val="00324FE2"/>
    <w:rsid w:val="0032782C"/>
    <w:rsid w:val="00331C74"/>
    <w:rsid w:val="00331DA1"/>
    <w:rsid w:val="00333076"/>
    <w:rsid w:val="0033365A"/>
    <w:rsid w:val="003358E8"/>
    <w:rsid w:val="00335C71"/>
    <w:rsid w:val="00335E16"/>
    <w:rsid w:val="00336081"/>
    <w:rsid w:val="00340E47"/>
    <w:rsid w:val="0034344B"/>
    <w:rsid w:val="003446A8"/>
    <w:rsid w:val="00345C45"/>
    <w:rsid w:val="003553FA"/>
    <w:rsid w:val="00356C5E"/>
    <w:rsid w:val="00360443"/>
    <w:rsid w:val="003607C5"/>
    <w:rsid w:val="00361321"/>
    <w:rsid w:val="0036132C"/>
    <w:rsid w:val="00361D52"/>
    <w:rsid w:val="00364BEF"/>
    <w:rsid w:val="0036696E"/>
    <w:rsid w:val="00367647"/>
    <w:rsid w:val="00370463"/>
    <w:rsid w:val="00372151"/>
    <w:rsid w:val="00372230"/>
    <w:rsid w:val="003725E8"/>
    <w:rsid w:val="003739EC"/>
    <w:rsid w:val="00375185"/>
    <w:rsid w:val="00375229"/>
    <w:rsid w:val="003773A8"/>
    <w:rsid w:val="00377D48"/>
    <w:rsid w:val="00381C8B"/>
    <w:rsid w:val="0038289B"/>
    <w:rsid w:val="00385089"/>
    <w:rsid w:val="00386931"/>
    <w:rsid w:val="00387E48"/>
    <w:rsid w:val="00393A90"/>
    <w:rsid w:val="00393C2C"/>
    <w:rsid w:val="00394278"/>
    <w:rsid w:val="00397997"/>
    <w:rsid w:val="003A10EF"/>
    <w:rsid w:val="003A1FB7"/>
    <w:rsid w:val="003A2239"/>
    <w:rsid w:val="003A22F1"/>
    <w:rsid w:val="003A32C8"/>
    <w:rsid w:val="003A4553"/>
    <w:rsid w:val="003A457F"/>
    <w:rsid w:val="003A4830"/>
    <w:rsid w:val="003A5D56"/>
    <w:rsid w:val="003A6742"/>
    <w:rsid w:val="003A7377"/>
    <w:rsid w:val="003A737D"/>
    <w:rsid w:val="003B1673"/>
    <w:rsid w:val="003B41EF"/>
    <w:rsid w:val="003B5F64"/>
    <w:rsid w:val="003B7F9E"/>
    <w:rsid w:val="003C19F7"/>
    <w:rsid w:val="003C1B1A"/>
    <w:rsid w:val="003C32B2"/>
    <w:rsid w:val="003C339D"/>
    <w:rsid w:val="003C4450"/>
    <w:rsid w:val="003C4BE5"/>
    <w:rsid w:val="003D0B12"/>
    <w:rsid w:val="003D132D"/>
    <w:rsid w:val="003D52B1"/>
    <w:rsid w:val="003D6381"/>
    <w:rsid w:val="003D6528"/>
    <w:rsid w:val="003E4DA2"/>
    <w:rsid w:val="003F0DC7"/>
    <w:rsid w:val="003F185F"/>
    <w:rsid w:val="003F40B5"/>
    <w:rsid w:val="003F4AB3"/>
    <w:rsid w:val="003F500E"/>
    <w:rsid w:val="0040242F"/>
    <w:rsid w:val="004030DD"/>
    <w:rsid w:val="0040383D"/>
    <w:rsid w:val="004041F1"/>
    <w:rsid w:val="00404840"/>
    <w:rsid w:val="004067A2"/>
    <w:rsid w:val="004113D2"/>
    <w:rsid w:val="00411DDA"/>
    <w:rsid w:val="004158BA"/>
    <w:rsid w:val="00421354"/>
    <w:rsid w:val="00422594"/>
    <w:rsid w:val="0042693E"/>
    <w:rsid w:val="004269F5"/>
    <w:rsid w:val="00427F6F"/>
    <w:rsid w:val="00430114"/>
    <w:rsid w:val="00432111"/>
    <w:rsid w:val="00434D8E"/>
    <w:rsid w:val="00437E54"/>
    <w:rsid w:val="004408C6"/>
    <w:rsid w:val="00441F38"/>
    <w:rsid w:val="00445B9A"/>
    <w:rsid w:val="0044669E"/>
    <w:rsid w:val="0044678A"/>
    <w:rsid w:val="00446BA5"/>
    <w:rsid w:val="00446F9F"/>
    <w:rsid w:val="00447E60"/>
    <w:rsid w:val="00451959"/>
    <w:rsid w:val="00451C33"/>
    <w:rsid w:val="00451FB3"/>
    <w:rsid w:val="004524B8"/>
    <w:rsid w:val="004538AB"/>
    <w:rsid w:val="004543B0"/>
    <w:rsid w:val="00456C5C"/>
    <w:rsid w:val="00457849"/>
    <w:rsid w:val="004606E9"/>
    <w:rsid w:val="00462525"/>
    <w:rsid w:val="004654CF"/>
    <w:rsid w:val="00465AD0"/>
    <w:rsid w:val="00472C45"/>
    <w:rsid w:val="004773FF"/>
    <w:rsid w:val="00481F87"/>
    <w:rsid w:val="0048368A"/>
    <w:rsid w:val="00484B01"/>
    <w:rsid w:val="004862ED"/>
    <w:rsid w:val="00486C2C"/>
    <w:rsid w:val="004900F3"/>
    <w:rsid w:val="004918C1"/>
    <w:rsid w:val="00491966"/>
    <w:rsid w:val="0049300C"/>
    <w:rsid w:val="0049333B"/>
    <w:rsid w:val="00496FA3"/>
    <w:rsid w:val="004970C8"/>
    <w:rsid w:val="004A08E1"/>
    <w:rsid w:val="004A200A"/>
    <w:rsid w:val="004A5998"/>
    <w:rsid w:val="004A6539"/>
    <w:rsid w:val="004A6FCF"/>
    <w:rsid w:val="004A7C00"/>
    <w:rsid w:val="004B0529"/>
    <w:rsid w:val="004B11DB"/>
    <w:rsid w:val="004B1F74"/>
    <w:rsid w:val="004B5BA4"/>
    <w:rsid w:val="004B5F52"/>
    <w:rsid w:val="004B6631"/>
    <w:rsid w:val="004B7A53"/>
    <w:rsid w:val="004D0165"/>
    <w:rsid w:val="004D20D9"/>
    <w:rsid w:val="004D3555"/>
    <w:rsid w:val="004D40C1"/>
    <w:rsid w:val="004D5E3C"/>
    <w:rsid w:val="004D646F"/>
    <w:rsid w:val="004D73A9"/>
    <w:rsid w:val="004E4002"/>
    <w:rsid w:val="004E4B9C"/>
    <w:rsid w:val="004E5758"/>
    <w:rsid w:val="004E589D"/>
    <w:rsid w:val="004E6B4B"/>
    <w:rsid w:val="004E7066"/>
    <w:rsid w:val="004F04E7"/>
    <w:rsid w:val="004F0A4B"/>
    <w:rsid w:val="004F50C8"/>
    <w:rsid w:val="004F72CB"/>
    <w:rsid w:val="00501815"/>
    <w:rsid w:val="00503B84"/>
    <w:rsid w:val="00505A52"/>
    <w:rsid w:val="00507C07"/>
    <w:rsid w:val="00511A4B"/>
    <w:rsid w:val="00512FC2"/>
    <w:rsid w:val="005134FE"/>
    <w:rsid w:val="005144C3"/>
    <w:rsid w:val="00515799"/>
    <w:rsid w:val="005161B4"/>
    <w:rsid w:val="00516A97"/>
    <w:rsid w:val="00516AFA"/>
    <w:rsid w:val="005202DD"/>
    <w:rsid w:val="005206AC"/>
    <w:rsid w:val="005206B4"/>
    <w:rsid w:val="00521A5D"/>
    <w:rsid w:val="00521DC6"/>
    <w:rsid w:val="00525BE0"/>
    <w:rsid w:val="00527A14"/>
    <w:rsid w:val="00533F82"/>
    <w:rsid w:val="005366B7"/>
    <w:rsid w:val="00537EB4"/>
    <w:rsid w:val="00542A98"/>
    <w:rsid w:val="0054393D"/>
    <w:rsid w:val="00543B38"/>
    <w:rsid w:val="0054601F"/>
    <w:rsid w:val="00546420"/>
    <w:rsid w:val="0055084E"/>
    <w:rsid w:val="005526AF"/>
    <w:rsid w:val="005535B5"/>
    <w:rsid w:val="00554F75"/>
    <w:rsid w:val="00554FD6"/>
    <w:rsid w:val="00555B04"/>
    <w:rsid w:val="005564F9"/>
    <w:rsid w:val="00557AA2"/>
    <w:rsid w:val="00562B6F"/>
    <w:rsid w:val="0056727B"/>
    <w:rsid w:val="0057019B"/>
    <w:rsid w:val="00572E17"/>
    <w:rsid w:val="00573D98"/>
    <w:rsid w:val="00580755"/>
    <w:rsid w:val="00581597"/>
    <w:rsid w:val="00585952"/>
    <w:rsid w:val="00591D39"/>
    <w:rsid w:val="0059358A"/>
    <w:rsid w:val="0059686D"/>
    <w:rsid w:val="00596E99"/>
    <w:rsid w:val="00597A9A"/>
    <w:rsid w:val="005A16F5"/>
    <w:rsid w:val="005A1D95"/>
    <w:rsid w:val="005A326A"/>
    <w:rsid w:val="005A3468"/>
    <w:rsid w:val="005A41F2"/>
    <w:rsid w:val="005B1044"/>
    <w:rsid w:val="005B1FAA"/>
    <w:rsid w:val="005B2463"/>
    <w:rsid w:val="005B3DA5"/>
    <w:rsid w:val="005B5337"/>
    <w:rsid w:val="005B650E"/>
    <w:rsid w:val="005B79F8"/>
    <w:rsid w:val="005C0BB5"/>
    <w:rsid w:val="005C1237"/>
    <w:rsid w:val="005C2C8A"/>
    <w:rsid w:val="005C4DCB"/>
    <w:rsid w:val="005C7E2A"/>
    <w:rsid w:val="005D26A4"/>
    <w:rsid w:val="005D2CFA"/>
    <w:rsid w:val="005D5C27"/>
    <w:rsid w:val="005D5CA3"/>
    <w:rsid w:val="005D67EC"/>
    <w:rsid w:val="005E074E"/>
    <w:rsid w:val="005E1134"/>
    <w:rsid w:val="005E1E25"/>
    <w:rsid w:val="005F050A"/>
    <w:rsid w:val="005F0CE4"/>
    <w:rsid w:val="005F155A"/>
    <w:rsid w:val="005F210F"/>
    <w:rsid w:val="005F3B45"/>
    <w:rsid w:val="005F5C4B"/>
    <w:rsid w:val="00603EBB"/>
    <w:rsid w:val="00605F31"/>
    <w:rsid w:val="00607815"/>
    <w:rsid w:val="006111AB"/>
    <w:rsid w:val="006119A0"/>
    <w:rsid w:val="006158E7"/>
    <w:rsid w:val="00615E97"/>
    <w:rsid w:val="00616A86"/>
    <w:rsid w:val="0061746B"/>
    <w:rsid w:val="00622701"/>
    <w:rsid w:val="00622A7A"/>
    <w:rsid w:val="00624BFB"/>
    <w:rsid w:val="006313BB"/>
    <w:rsid w:val="00631F86"/>
    <w:rsid w:val="006335EB"/>
    <w:rsid w:val="00633879"/>
    <w:rsid w:val="006352FB"/>
    <w:rsid w:val="00635F5F"/>
    <w:rsid w:val="0063774E"/>
    <w:rsid w:val="00637D93"/>
    <w:rsid w:val="0064002E"/>
    <w:rsid w:val="00640B72"/>
    <w:rsid w:val="00640BAA"/>
    <w:rsid w:val="0064193C"/>
    <w:rsid w:val="00642399"/>
    <w:rsid w:val="00644273"/>
    <w:rsid w:val="00644530"/>
    <w:rsid w:val="00645A1A"/>
    <w:rsid w:val="0065092C"/>
    <w:rsid w:val="006539E9"/>
    <w:rsid w:val="00653A12"/>
    <w:rsid w:val="00654853"/>
    <w:rsid w:val="006556A4"/>
    <w:rsid w:val="00655F9B"/>
    <w:rsid w:val="006575A5"/>
    <w:rsid w:val="0065765B"/>
    <w:rsid w:val="00660392"/>
    <w:rsid w:val="006613D3"/>
    <w:rsid w:val="00661920"/>
    <w:rsid w:val="00663B40"/>
    <w:rsid w:val="00665DF5"/>
    <w:rsid w:val="00670BBA"/>
    <w:rsid w:val="00670D04"/>
    <w:rsid w:val="0067164F"/>
    <w:rsid w:val="00673484"/>
    <w:rsid w:val="00674F8D"/>
    <w:rsid w:val="006776E0"/>
    <w:rsid w:val="00680844"/>
    <w:rsid w:val="0068542B"/>
    <w:rsid w:val="006906D4"/>
    <w:rsid w:val="00690A97"/>
    <w:rsid w:val="006919BB"/>
    <w:rsid w:val="0069253F"/>
    <w:rsid w:val="0069366E"/>
    <w:rsid w:val="0069432A"/>
    <w:rsid w:val="00694EC9"/>
    <w:rsid w:val="00695677"/>
    <w:rsid w:val="006972E0"/>
    <w:rsid w:val="006A0DA6"/>
    <w:rsid w:val="006A3305"/>
    <w:rsid w:val="006A3B5A"/>
    <w:rsid w:val="006A646F"/>
    <w:rsid w:val="006A6966"/>
    <w:rsid w:val="006B1367"/>
    <w:rsid w:val="006B1BDD"/>
    <w:rsid w:val="006B1E40"/>
    <w:rsid w:val="006B384B"/>
    <w:rsid w:val="006B61D2"/>
    <w:rsid w:val="006C35AA"/>
    <w:rsid w:val="006C471F"/>
    <w:rsid w:val="006C516A"/>
    <w:rsid w:val="006C5C3F"/>
    <w:rsid w:val="006C6ACB"/>
    <w:rsid w:val="006C74C6"/>
    <w:rsid w:val="006C7816"/>
    <w:rsid w:val="006D05E7"/>
    <w:rsid w:val="006D09E6"/>
    <w:rsid w:val="006D237E"/>
    <w:rsid w:val="006D3338"/>
    <w:rsid w:val="006D46A7"/>
    <w:rsid w:val="006D609E"/>
    <w:rsid w:val="006D791D"/>
    <w:rsid w:val="006E1ECD"/>
    <w:rsid w:val="006E33B9"/>
    <w:rsid w:val="006E39FD"/>
    <w:rsid w:val="006E4C82"/>
    <w:rsid w:val="006E7D08"/>
    <w:rsid w:val="006F00CB"/>
    <w:rsid w:val="006F0593"/>
    <w:rsid w:val="006F1B5E"/>
    <w:rsid w:val="006F3B39"/>
    <w:rsid w:val="006F5594"/>
    <w:rsid w:val="006F562C"/>
    <w:rsid w:val="006F7295"/>
    <w:rsid w:val="00700FF5"/>
    <w:rsid w:val="00701716"/>
    <w:rsid w:val="00701BC6"/>
    <w:rsid w:val="00703A32"/>
    <w:rsid w:val="007063CB"/>
    <w:rsid w:val="00710081"/>
    <w:rsid w:val="007110F7"/>
    <w:rsid w:val="007113A0"/>
    <w:rsid w:val="007117F1"/>
    <w:rsid w:val="00712ED1"/>
    <w:rsid w:val="00713626"/>
    <w:rsid w:val="00714510"/>
    <w:rsid w:val="00714EED"/>
    <w:rsid w:val="00715187"/>
    <w:rsid w:val="00716A29"/>
    <w:rsid w:val="00717AE5"/>
    <w:rsid w:val="00717B0C"/>
    <w:rsid w:val="00720337"/>
    <w:rsid w:val="00722D4F"/>
    <w:rsid w:val="007237C2"/>
    <w:rsid w:val="00723B61"/>
    <w:rsid w:val="00725879"/>
    <w:rsid w:val="0072627A"/>
    <w:rsid w:val="00726B8E"/>
    <w:rsid w:val="00727BD1"/>
    <w:rsid w:val="00730656"/>
    <w:rsid w:val="00730C78"/>
    <w:rsid w:val="00731201"/>
    <w:rsid w:val="0073159F"/>
    <w:rsid w:val="0073329C"/>
    <w:rsid w:val="007336FF"/>
    <w:rsid w:val="00737234"/>
    <w:rsid w:val="007376F0"/>
    <w:rsid w:val="00741A8C"/>
    <w:rsid w:val="00742391"/>
    <w:rsid w:val="00745024"/>
    <w:rsid w:val="0074554C"/>
    <w:rsid w:val="007456D5"/>
    <w:rsid w:val="00746489"/>
    <w:rsid w:val="007465C5"/>
    <w:rsid w:val="007515CE"/>
    <w:rsid w:val="00751D8B"/>
    <w:rsid w:val="00752DD9"/>
    <w:rsid w:val="00754174"/>
    <w:rsid w:val="00756D03"/>
    <w:rsid w:val="00757DD6"/>
    <w:rsid w:val="007614A3"/>
    <w:rsid w:val="00761D6C"/>
    <w:rsid w:val="007628D1"/>
    <w:rsid w:val="00763DD9"/>
    <w:rsid w:val="00764ADD"/>
    <w:rsid w:val="00767050"/>
    <w:rsid w:val="00767E36"/>
    <w:rsid w:val="00772B04"/>
    <w:rsid w:val="00773BA4"/>
    <w:rsid w:val="007817D7"/>
    <w:rsid w:val="00783F8A"/>
    <w:rsid w:val="007856B6"/>
    <w:rsid w:val="00785D72"/>
    <w:rsid w:val="00785E0A"/>
    <w:rsid w:val="00786143"/>
    <w:rsid w:val="007901D4"/>
    <w:rsid w:val="00794EA7"/>
    <w:rsid w:val="0079505C"/>
    <w:rsid w:val="00795A35"/>
    <w:rsid w:val="007A0521"/>
    <w:rsid w:val="007A13E7"/>
    <w:rsid w:val="007A4689"/>
    <w:rsid w:val="007A6A8F"/>
    <w:rsid w:val="007B1C06"/>
    <w:rsid w:val="007B206E"/>
    <w:rsid w:val="007B38C1"/>
    <w:rsid w:val="007B519D"/>
    <w:rsid w:val="007B6B58"/>
    <w:rsid w:val="007B6C5E"/>
    <w:rsid w:val="007C0346"/>
    <w:rsid w:val="007C0F0E"/>
    <w:rsid w:val="007C3086"/>
    <w:rsid w:val="007C3D88"/>
    <w:rsid w:val="007C5581"/>
    <w:rsid w:val="007C5F8A"/>
    <w:rsid w:val="007C791D"/>
    <w:rsid w:val="007D0503"/>
    <w:rsid w:val="007D06E5"/>
    <w:rsid w:val="007D1678"/>
    <w:rsid w:val="007D220B"/>
    <w:rsid w:val="007D4AEF"/>
    <w:rsid w:val="007D4F11"/>
    <w:rsid w:val="007D585F"/>
    <w:rsid w:val="007D611B"/>
    <w:rsid w:val="007D7942"/>
    <w:rsid w:val="007E05BC"/>
    <w:rsid w:val="007E3E8B"/>
    <w:rsid w:val="007E4DAC"/>
    <w:rsid w:val="007E5ECA"/>
    <w:rsid w:val="007E60D2"/>
    <w:rsid w:val="007F4BF3"/>
    <w:rsid w:val="00800738"/>
    <w:rsid w:val="00800916"/>
    <w:rsid w:val="0080288B"/>
    <w:rsid w:val="00802F74"/>
    <w:rsid w:val="00803C0C"/>
    <w:rsid w:val="008044B5"/>
    <w:rsid w:val="0080554E"/>
    <w:rsid w:val="00805964"/>
    <w:rsid w:val="00807FD3"/>
    <w:rsid w:val="00810D1A"/>
    <w:rsid w:val="00811135"/>
    <w:rsid w:val="008112E4"/>
    <w:rsid w:val="00811E12"/>
    <w:rsid w:val="00816F6C"/>
    <w:rsid w:val="00817656"/>
    <w:rsid w:val="008202C4"/>
    <w:rsid w:val="00821948"/>
    <w:rsid w:val="008226AF"/>
    <w:rsid w:val="00822C1F"/>
    <w:rsid w:val="008250E7"/>
    <w:rsid w:val="00830D90"/>
    <w:rsid w:val="00832362"/>
    <w:rsid w:val="00833E3B"/>
    <w:rsid w:val="00836312"/>
    <w:rsid w:val="008364E7"/>
    <w:rsid w:val="008368A1"/>
    <w:rsid w:val="00836DB5"/>
    <w:rsid w:val="008376D9"/>
    <w:rsid w:val="00841EF5"/>
    <w:rsid w:val="00843C93"/>
    <w:rsid w:val="008449A0"/>
    <w:rsid w:val="00845A7B"/>
    <w:rsid w:val="008460C3"/>
    <w:rsid w:val="008509AA"/>
    <w:rsid w:val="00852436"/>
    <w:rsid w:val="00854009"/>
    <w:rsid w:val="0085455A"/>
    <w:rsid w:val="00854A7F"/>
    <w:rsid w:val="00854AE2"/>
    <w:rsid w:val="00856F2F"/>
    <w:rsid w:val="0085708A"/>
    <w:rsid w:val="00861306"/>
    <w:rsid w:val="00862AB5"/>
    <w:rsid w:val="00866861"/>
    <w:rsid w:val="008741E1"/>
    <w:rsid w:val="00874741"/>
    <w:rsid w:val="00875BDA"/>
    <w:rsid w:val="00880553"/>
    <w:rsid w:val="00883690"/>
    <w:rsid w:val="00883F79"/>
    <w:rsid w:val="00885AAB"/>
    <w:rsid w:val="00887EE3"/>
    <w:rsid w:val="008911BE"/>
    <w:rsid w:val="00892ACA"/>
    <w:rsid w:val="00893D75"/>
    <w:rsid w:val="00894C19"/>
    <w:rsid w:val="00895236"/>
    <w:rsid w:val="00895F7E"/>
    <w:rsid w:val="008964CA"/>
    <w:rsid w:val="00897320"/>
    <w:rsid w:val="008973BA"/>
    <w:rsid w:val="008A21CC"/>
    <w:rsid w:val="008A2B49"/>
    <w:rsid w:val="008A5931"/>
    <w:rsid w:val="008A634C"/>
    <w:rsid w:val="008B2ED7"/>
    <w:rsid w:val="008B4B4C"/>
    <w:rsid w:val="008B50E9"/>
    <w:rsid w:val="008B64C6"/>
    <w:rsid w:val="008B652A"/>
    <w:rsid w:val="008B691C"/>
    <w:rsid w:val="008B6D02"/>
    <w:rsid w:val="008C0FDB"/>
    <w:rsid w:val="008C280F"/>
    <w:rsid w:val="008C3BCC"/>
    <w:rsid w:val="008C4E72"/>
    <w:rsid w:val="008C662D"/>
    <w:rsid w:val="008C7246"/>
    <w:rsid w:val="008C7716"/>
    <w:rsid w:val="008C7FA8"/>
    <w:rsid w:val="008D13A4"/>
    <w:rsid w:val="008D1FC9"/>
    <w:rsid w:val="008D2E2D"/>
    <w:rsid w:val="008D5C34"/>
    <w:rsid w:val="008E789C"/>
    <w:rsid w:val="008E7C15"/>
    <w:rsid w:val="008F0AE8"/>
    <w:rsid w:val="008F0DE3"/>
    <w:rsid w:val="008F1C94"/>
    <w:rsid w:val="008F2819"/>
    <w:rsid w:val="008F4C99"/>
    <w:rsid w:val="0090002E"/>
    <w:rsid w:val="00900662"/>
    <w:rsid w:val="009012D2"/>
    <w:rsid w:val="00902173"/>
    <w:rsid w:val="00902656"/>
    <w:rsid w:val="00904111"/>
    <w:rsid w:val="009057B7"/>
    <w:rsid w:val="0090591B"/>
    <w:rsid w:val="009062CE"/>
    <w:rsid w:val="00911009"/>
    <w:rsid w:val="0091184E"/>
    <w:rsid w:val="009170AA"/>
    <w:rsid w:val="009176AD"/>
    <w:rsid w:val="00920023"/>
    <w:rsid w:val="00923E47"/>
    <w:rsid w:val="00926565"/>
    <w:rsid w:val="0092723E"/>
    <w:rsid w:val="00930630"/>
    <w:rsid w:val="00937E4C"/>
    <w:rsid w:val="009411D1"/>
    <w:rsid w:val="00941E69"/>
    <w:rsid w:val="0094271B"/>
    <w:rsid w:val="00943432"/>
    <w:rsid w:val="009471F5"/>
    <w:rsid w:val="00950EDA"/>
    <w:rsid w:val="00951C0E"/>
    <w:rsid w:val="00953D8A"/>
    <w:rsid w:val="00957172"/>
    <w:rsid w:val="00960C2E"/>
    <w:rsid w:val="0096141D"/>
    <w:rsid w:val="009619E3"/>
    <w:rsid w:val="00965747"/>
    <w:rsid w:val="00965A79"/>
    <w:rsid w:val="00966EE1"/>
    <w:rsid w:val="00967263"/>
    <w:rsid w:val="00972DA8"/>
    <w:rsid w:val="00975285"/>
    <w:rsid w:val="0097528D"/>
    <w:rsid w:val="00976CFB"/>
    <w:rsid w:val="00976DD0"/>
    <w:rsid w:val="00976F2C"/>
    <w:rsid w:val="00977C4E"/>
    <w:rsid w:val="00980C78"/>
    <w:rsid w:val="00981521"/>
    <w:rsid w:val="00984460"/>
    <w:rsid w:val="00986CBB"/>
    <w:rsid w:val="00986DE1"/>
    <w:rsid w:val="00987258"/>
    <w:rsid w:val="009927D4"/>
    <w:rsid w:val="00992B2B"/>
    <w:rsid w:val="00993510"/>
    <w:rsid w:val="009A0E08"/>
    <w:rsid w:val="009A1984"/>
    <w:rsid w:val="009A2543"/>
    <w:rsid w:val="009A2B27"/>
    <w:rsid w:val="009A3030"/>
    <w:rsid w:val="009B3826"/>
    <w:rsid w:val="009B3CBF"/>
    <w:rsid w:val="009B4EE3"/>
    <w:rsid w:val="009B5914"/>
    <w:rsid w:val="009B5C0B"/>
    <w:rsid w:val="009B5E6F"/>
    <w:rsid w:val="009C17BD"/>
    <w:rsid w:val="009C1EA3"/>
    <w:rsid w:val="009C2DB9"/>
    <w:rsid w:val="009C4B04"/>
    <w:rsid w:val="009C5517"/>
    <w:rsid w:val="009D3005"/>
    <w:rsid w:val="009D4294"/>
    <w:rsid w:val="009D443D"/>
    <w:rsid w:val="009D6514"/>
    <w:rsid w:val="009D764F"/>
    <w:rsid w:val="009E12AB"/>
    <w:rsid w:val="009E23D2"/>
    <w:rsid w:val="009E29F1"/>
    <w:rsid w:val="009E2A6B"/>
    <w:rsid w:val="009E3369"/>
    <w:rsid w:val="009E3FA4"/>
    <w:rsid w:val="009E459D"/>
    <w:rsid w:val="009E493A"/>
    <w:rsid w:val="009E68C7"/>
    <w:rsid w:val="009E741A"/>
    <w:rsid w:val="009F063A"/>
    <w:rsid w:val="009F321E"/>
    <w:rsid w:val="009F3ED3"/>
    <w:rsid w:val="009F5151"/>
    <w:rsid w:val="00A00020"/>
    <w:rsid w:val="00A00040"/>
    <w:rsid w:val="00A01894"/>
    <w:rsid w:val="00A01BDD"/>
    <w:rsid w:val="00A10AAE"/>
    <w:rsid w:val="00A11A29"/>
    <w:rsid w:val="00A11A2B"/>
    <w:rsid w:val="00A11ABF"/>
    <w:rsid w:val="00A1247F"/>
    <w:rsid w:val="00A13009"/>
    <w:rsid w:val="00A13125"/>
    <w:rsid w:val="00A13308"/>
    <w:rsid w:val="00A1410E"/>
    <w:rsid w:val="00A145EA"/>
    <w:rsid w:val="00A15ACB"/>
    <w:rsid w:val="00A15F5D"/>
    <w:rsid w:val="00A17832"/>
    <w:rsid w:val="00A20BFB"/>
    <w:rsid w:val="00A21D3F"/>
    <w:rsid w:val="00A22B65"/>
    <w:rsid w:val="00A23536"/>
    <w:rsid w:val="00A26613"/>
    <w:rsid w:val="00A26E79"/>
    <w:rsid w:val="00A2726F"/>
    <w:rsid w:val="00A275B6"/>
    <w:rsid w:val="00A27721"/>
    <w:rsid w:val="00A314AF"/>
    <w:rsid w:val="00A333F7"/>
    <w:rsid w:val="00A34D23"/>
    <w:rsid w:val="00A37B9A"/>
    <w:rsid w:val="00A37D31"/>
    <w:rsid w:val="00A41A52"/>
    <w:rsid w:val="00A468CA"/>
    <w:rsid w:val="00A508AC"/>
    <w:rsid w:val="00A508DB"/>
    <w:rsid w:val="00A509F6"/>
    <w:rsid w:val="00A53BA0"/>
    <w:rsid w:val="00A54830"/>
    <w:rsid w:val="00A5492E"/>
    <w:rsid w:val="00A57037"/>
    <w:rsid w:val="00A615ED"/>
    <w:rsid w:val="00A62DAE"/>
    <w:rsid w:val="00A63A79"/>
    <w:rsid w:val="00A63F06"/>
    <w:rsid w:val="00A651CF"/>
    <w:rsid w:val="00A66486"/>
    <w:rsid w:val="00A67192"/>
    <w:rsid w:val="00A712A9"/>
    <w:rsid w:val="00A7430B"/>
    <w:rsid w:val="00A75C24"/>
    <w:rsid w:val="00A77296"/>
    <w:rsid w:val="00A77481"/>
    <w:rsid w:val="00A774C5"/>
    <w:rsid w:val="00A776B9"/>
    <w:rsid w:val="00A80107"/>
    <w:rsid w:val="00A809D4"/>
    <w:rsid w:val="00A80CB5"/>
    <w:rsid w:val="00A825DB"/>
    <w:rsid w:val="00A84DFF"/>
    <w:rsid w:val="00A85301"/>
    <w:rsid w:val="00A857FC"/>
    <w:rsid w:val="00A87CC5"/>
    <w:rsid w:val="00A904BE"/>
    <w:rsid w:val="00A9206E"/>
    <w:rsid w:val="00A926D6"/>
    <w:rsid w:val="00A939B7"/>
    <w:rsid w:val="00A94F09"/>
    <w:rsid w:val="00A96217"/>
    <w:rsid w:val="00A9652C"/>
    <w:rsid w:val="00A96CF7"/>
    <w:rsid w:val="00A97757"/>
    <w:rsid w:val="00AA09FE"/>
    <w:rsid w:val="00AA2A45"/>
    <w:rsid w:val="00AA305B"/>
    <w:rsid w:val="00AA3694"/>
    <w:rsid w:val="00AA6129"/>
    <w:rsid w:val="00AA655E"/>
    <w:rsid w:val="00AA7F91"/>
    <w:rsid w:val="00AB20B9"/>
    <w:rsid w:val="00AB4564"/>
    <w:rsid w:val="00AB4F9C"/>
    <w:rsid w:val="00AB5329"/>
    <w:rsid w:val="00AB7721"/>
    <w:rsid w:val="00AB7F91"/>
    <w:rsid w:val="00AC0E96"/>
    <w:rsid w:val="00AC1E36"/>
    <w:rsid w:val="00AC47F0"/>
    <w:rsid w:val="00AC4F68"/>
    <w:rsid w:val="00AC5DBB"/>
    <w:rsid w:val="00AC6FAE"/>
    <w:rsid w:val="00AC75A7"/>
    <w:rsid w:val="00AD1889"/>
    <w:rsid w:val="00AD2691"/>
    <w:rsid w:val="00AD2BD2"/>
    <w:rsid w:val="00AD2C8E"/>
    <w:rsid w:val="00AD2F36"/>
    <w:rsid w:val="00AD3331"/>
    <w:rsid w:val="00AD3F4E"/>
    <w:rsid w:val="00AD5B1D"/>
    <w:rsid w:val="00AD665D"/>
    <w:rsid w:val="00AD750D"/>
    <w:rsid w:val="00AD766C"/>
    <w:rsid w:val="00AE10F3"/>
    <w:rsid w:val="00AE3318"/>
    <w:rsid w:val="00AE372E"/>
    <w:rsid w:val="00AE6BF4"/>
    <w:rsid w:val="00AE7987"/>
    <w:rsid w:val="00AF054E"/>
    <w:rsid w:val="00AF3810"/>
    <w:rsid w:val="00AF63EE"/>
    <w:rsid w:val="00AF6FC1"/>
    <w:rsid w:val="00AF76A8"/>
    <w:rsid w:val="00AF7B8F"/>
    <w:rsid w:val="00B00170"/>
    <w:rsid w:val="00B00A45"/>
    <w:rsid w:val="00B024F6"/>
    <w:rsid w:val="00B02825"/>
    <w:rsid w:val="00B02F23"/>
    <w:rsid w:val="00B0359C"/>
    <w:rsid w:val="00B03723"/>
    <w:rsid w:val="00B03A38"/>
    <w:rsid w:val="00B04C09"/>
    <w:rsid w:val="00B06DCA"/>
    <w:rsid w:val="00B10971"/>
    <w:rsid w:val="00B11320"/>
    <w:rsid w:val="00B14691"/>
    <w:rsid w:val="00B162CB"/>
    <w:rsid w:val="00B16573"/>
    <w:rsid w:val="00B16C94"/>
    <w:rsid w:val="00B2033F"/>
    <w:rsid w:val="00B20639"/>
    <w:rsid w:val="00B20C04"/>
    <w:rsid w:val="00B21BCC"/>
    <w:rsid w:val="00B22794"/>
    <w:rsid w:val="00B23563"/>
    <w:rsid w:val="00B2397E"/>
    <w:rsid w:val="00B23FDE"/>
    <w:rsid w:val="00B24BD8"/>
    <w:rsid w:val="00B25D0B"/>
    <w:rsid w:val="00B2624D"/>
    <w:rsid w:val="00B277A1"/>
    <w:rsid w:val="00B3049B"/>
    <w:rsid w:val="00B31226"/>
    <w:rsid w:val="00B315CE"/>
    <w:rsid w:val="00B31A08"/>
    <w:rsid w:val="00B33B0A"/>
    <w:rsid w:val="00B3548F"/>
    <w:rsid w:val="00B35A00"/>
    <w:rsid w:val="00B35C86"/>
    <w:rsid w:val="00B37467"/>
    <w:rsid w:val="00B37DCE"/>
    <w:rsid w:val="00B40D90"/>
    <w:rsid w:val="00B410AF"/>
    <w:rsid w:val="00B41736"/>
    <w:rsid w:val="00B43945"/>
    <w:rsid w:val="00B44FC0"/>
    <w:rsid w:val="00B454E5"/>
    <w:rsid w:val="00B46721"/>
    <w:rsid w:val="00B478CD"/>
    <w:rsid w:val="00B52BC8"/>
    <w:rsid w:val="00B537A6"/>
    <w:rsid w:val="00B57584"/>
    <w:rsid w:val="00B60083"/>
    <w:rsid w:val="00B611CC"/>
    <w:rsid w:val="00B6257F"/>
    <w:rsid w:val="00B63037"/>
    <w:rsid w:val="00B6393A"/>
    <w:rsid w:val="00B66A5A"/>
    <w:rsid w:val="00B71147"/>
    <w:rsid w:val="00B72AD4"/>
    <w:rsid w:val="00B732FD"/>
    <w:rsid w:val="00B74B65"/>
    <w:rsid w:val="00B770B9"/>
    <w:rsid w:val="00B771DD"/>
    <w:rsid w:val="00B8105F"/>
    <w:rsid w:val="00B83F33"/>
    <w:rsid w:val="00B90EE8"/>
    <w:rsid w:val="00B9373F"/>
    <w:rsid w:val="00B94CDD"/>
    <w:rsid w:val="00B952D4"/>
    <w:rsid w:val="00B957FF"/>
    <w:rsid w:val="00BA02DF"/>
    <w:rsid w:val="00BA1205"/>
    <w:rsid w:val="00BA1444"/>
    <w:rsid w:val="00BA28A7"/>
    <w:rsid w:val="00BA5E54"/>
    <w:rsid w:val="00BB2CB4"/>
    <w:rsid w:val="00BB2DB8"/>
    <w:rsid w:val="00BB4343"/>
    <w:rsid w:val="00BB6806"/>
    <w:rsid w:val="00BB77DC"/>
    <w:rsid w:val="00BC0DDB"/>
    <w:rsid w:val="00BC3E7B"/>
    <w:rsid w:val="00BC6AA0"/>
    <w:rsid w:val="00BD0EE0"/>
    <w:rsid w:val="00BD1EF5"/>
    <w:rsid w:val="00BD441D"/>
    <w:rsid w:val="00BD6FF2"/>
    <w:rsid w:val="00BE0BF3"/>
    <w:rsid w:val="00BE0FB9"/>
    <w:rsid w:val="00BE18A3"/>
    <w:rsid w:val="00BE382B"/>
    <w:rsid w:val="00BE4C31"/>
    <w:rsid w:val="00BE5C3C"/>
    <w:rsid w:val="00BE5CA7"/>
    <w:rsid w:val="00BE6BE0"/>
    <w:rsid w:val="00BE714E"/>
    <w:rsid w:val="00BF00B2"/>
    <w:rsid w:val="00BF0FA6"/>
    <w:rsid w:val="00BF4549"/>
    <w:rsid w:val="00BF4D41"/>
    <w:rsid w:val="00BF5A10"/>
    <w:rsid w:val="00BF79E5"/>
    <w:rsid w:val="00C00E30"/>
    <w:rsid w:val="00C01905"/>
    <w:rsid w:val="00C01A7A"/>
    <w:rsid w:val="00C0269D"/>
    <w:rsid w:val="00C034DA"/>
    <w:rsid w:val="00C036B7"/>
    <w:rsid w:val="00C042A4"/>
    <w:rsid w:val="00C101C0"/>
    <w:rsid w:val="00C108E0"/>
    <w:rsid w:val="00C10D9F"/>
    <w:rsid w:val="00C11DEB"/>
    <w:rsid w:val="00C13366"/>
    <w:rsid w:val="00C13B42"/>
    <w:rsid w:val="00C13F98"/>
    <w:rsid w:val="00C1712E"/>
    <w:rsid w:val="00C1731A"/>
    <w:rsid w:val="00C17399"/>
    <w:rsid w:val="00C20223"/>
    <w:rsid w:val="00C20702"/>
    <w:rsid w:val="00C213CA"/>
    <w:rsid w:val="00C218C0"/>
    <w:rsid w:val="00C22AB1"/>
    <w:rsid w:val="00C22DFB"/>
    <w:rsid w:val="00C23C74"/>
    <w:rsid w:val="00C30690"/>
    <w:rsid w:val="00C306E4"/>
    <w:rsid w:val="00C3091F"/>
    <w:rsid w:val="00C34CAA"/>
    <w:rsid w:val="00C36292"/>
    <w:rsid w:val="00C3632B"/>
    <w:rsid w:val="00C41EE1"/>
    <w:rsid w:val="00C42856"/>
    <w:rsid w:val="00C432D1"/>
    <w:rsid w:val="00C44BFD"/>
    <w:rsid w:val="00C454CD"/>
    <w:rsid w:val="00C458CC"/>
    <w:rsid w:val="00C45E1C"/>
    <w:rsid w:val="00C46DEC"/>
    <w:rsid w:val="00C50C87"/>
    <w:rsid w:val="00C51153"/>
    <w:rsid w:val="00C63BAB"/>
    <w:rsid w:val="00C642EC"/>
    <w:rsid w:val="00C64596"/>
    <w:rsid w:val="00C6528D"/>
    <w:rsid w:val="00C65953"/>
    <w:rsid w:val="00C65BC2"/>
    <w:rsid w:val="00C67292"/>
    <w:rsid w:val="00C67A10"/>
    <w:rsid w:val="00C733C5"/>
    <w:rsid w:val="00C754F1"/>
    <w:rsid w:val="00C7629B"/>
    <w:rsid w:val="00C8000F"/>
    <w:rsid w:val="00C804FC"/>
    <w:rsid w:val="00C8133F"/>
    <w:rsid w:val="00C81FCF"/>
    <w:rsid w:val="00C82CEC"/>
    <w:rsid w:val="00C8325E"/>
    <w:rsid w:val="00C84D87"/>
    <w:rsid w:val="00C84E71"/>
    <w:rsid w:val="00C85D7E"/>
    <w:rsid w:val="00C879A1"/>
    <w:rsid w:val="00C91448"/>
    <w:rsid w:val="00C91577"/>
    <w:rsid w:val="00C91837"/>
    <w:rsid w:val="00C9235E"/>
    <w:rsid w:val="00C92E04"/>
    <w:rsid w:val="00C93446"/>
    <w:rsid w:val="00C93856"/>
    <w:rsid w:val="00C94B72"/>
    <w:rsid w:val="00C94EBC"/>
    <w:rsid w:val="00CA4291"/>
    <w:rsid w:val="00CA6481"/>
    <w:rsid w:val="00CA6C4A"/>
    <w:rsid w:val="00CB0706"/>
    <w:rsid w:val="00CB4067"/>
    <w:rsid w:val="00CB5971"/>
    <w:rsid w:val="00CB5E47"/>
    <w:rsid w:val="00CC0D30"/>
    <w:rsid w:val="00CC2475"/>
    <w:rsid w:val="00CC25BF"/>
    <w:rsid w:val="00CC28AA"/>
    <w:rsid w:val="00CC2FFF"/>
    <w:rsid w:val="00CC3462"/>
    <w:rsid w:val="00CC4D80"/>
    <w:rsid w:val="00CC7935"/>
    <w:rsid w:val="00CD1D70"/>
    <w:rsid w:val="00CD40C8"/>
    <w:rsid w:val="00CD44D5"/>
    <w:rsid w:val="00CD4962"/>
    <w:rsid w:val="00CD5C15"/>
    <w:rsid w:val="00CE2EA4"/>
    <w:rsid w:val="00CE30F2"/>
    <w:rsid w:val="00CE775D"/>
    <w:rsid w:val="00CF318B"/>
    <w:rsid w:val="00CF42F3"/>
    <w:rsid w:val="00CF4ED9"/>
    <w:rsid w:val="00CF4F99"/>
    <w:rsid w:val="00CF6CCD"/>
    <w:rsid w:val="00D003C5"/>
    <w:rsid w:val="00D00E64"/>
    <w:rsid w:val="00D03BC4"/>
    <w:rsid w:val="00D054A5"/>
    <w:rsid w:val="00D05BDF"/>
    <w:rsid w:val="00D0616D"/>
    <w:rsid w:val="00D1196F"/>
    <w:rsid w:val="00D12CDD"/>
    <w:rsid w:val="00D12DD2"/>
    <w:rsid w:val="00D139C6"/>
    <w:rsid w:val="00D156DF"/>
    <w:rsid w:val="00D159AC"/>
    <w:rsid w:val="00D214AD"/>
    <w:rsid w:val="00D237DF"/>
    <w:rsid w:val="00D2388B"/>
    <w:rsid w:val="00D24659"/>
    <w:rsid w:val="00D249BA"/>
    <w:rsid w:val="00D270F6"/>
    <w:rsid w:val="00D3020C"/>
    <w:rsid w:val="00D31E1B"/>
    <w:rsid w:val="00D34B62"/>
    <w:rsid w:val="00D35CEA"/>
    <w:rsid w:val="00D35F59"/>
    <w:rsid w:val="00D36DD3"/>
    <w:rsid w:val="00D40697"/>
    <w:rsid w:val="00D42481"/>
    <w:rsid w:val="00D42AA0"/>
    <w:rsid w:val="00D46882"/>
    <w:rsid w:val="00D51B30"/>
    <w:rsid w:val="00D52E79"/>
    <w:rsid w:val="00D53950"/>
    <w:rsid w:val="00D53E43"/>
    <w:rsid w:val="00D5479D"/>
    <w:rsid w:val="00D600CF"/>
    <w:rsid w:val="00D6166C"/>
    <w:rsid w:val="00D61F04"/>
    <w:rsid w:val="00D63BA6"/>
    <w:rsid w:val="00D63F0B"/>
    <w:rsid w:val="00D66790"/>
    <w:rsid w:val="00D66C22"/>
    <w:rsid w:val="00D6769E"/>
    <w:rsid w:val="00D676B3"/>
    <w:rsid w:val="00D7295A"/>
    <w:rsid w:val="00D756B1"/>
    <w:rsid w:val="00D759D8"/>
    <w:rsid w:val="00D76A0F"/>
    <w:rsid w:val="00D77953"/>
    <w:rsid w:val="00D8089A"/>
    <w:rsid w:val="00D81160"/>
    <w:rsid w:val="00D81FE7"/>
    <w:rsid w:val="00D82047"/>
    <w:rsid w:val="00D85B54"/>
    <w:rsid w:val="00D863E2"/>
    <w:rsid w:val="00D86674"/>
    <w:rsid w:val="00D87A7E"/>
    <w:rsid w:val="00D91D07"/>
    <w:rsid w:val="00D926D4"/>
    <w:rsid w:val="00D92A5F"/>
    <w:rsid w:val="00D93C34"/>
    <w:rsid w:val="00DA0ED7"/>
    <w:rsid w:val="00DA27AA"/>
    <w:rsid w:val="00DA463A"/>
    <w:rsid w:val="00DA4C15"/>
    <w:rsid w:val="00DA5980"/>
    <w:rsid w:val="00DA5FED"/>
    <w:rsid w:val="00DA6787"/>
    <w:rsid w:val="00DA78CF"/>
    <w:rsid w:val="00DB09D4"/>
    <w:rsid w:val="00DB28C7"/>
    <w:rsid w:val="00DB386A"/>
    <w:rsid w:val="00DB4AE4"/>
    <w:rsid w:val="00DB51B0"/>
    <w:rsid w:val="00DB5D64"/>
    <w:rsid w:val="00DB6A80"/>
    <w:rsid w:val="00DB6FF7"/>
    <w:rsid w:val="00DC1622"/>
    <w:rsid w:val="00DC2169"/>
    <w:rsid w:val="00DC3B99"/>
    <w:rsid w:val="00DC62FD"/>
    <w:rsid w:val="00DD148E"/>
    <w:rsid w:val="00DD4747"/>
    <w:rsid w:val="00DD5A45"/>
    <w:rsid w:val="00DD64C4"/>
    <w:rsid w:val="00DD6B8F"/>
    <w:rsid w:val="00DD6D7F"/>
    <w:rsid w:val="00DE1E87"/>
    <w:rsid w:val="00DE4F07"/>
    <w:rsid w:val="00DF0866"/>
    <w:rsid w:val="00DF2983"/>
    <w:rsid w:val="00DF300F"/>
    <w:rsid w:val="00DF3108"/>
    <w:rsid w:val="00DF6EB4"/>
    <w:rsid w:val="00E00AE8"/>
    <w:rsid w:val="00E049DF"/>
    <w:rsid w:val="00E04A18"/>
    <w:rsid w:val="00E04D95"/>
    <w:rsid w:val="00E05036"/>
    <w:rsid w:val="00E1010A"/>
    <w:rsid w:val="00E116FC"/>
    <w:rsid w:val="00E221D0"/>
    <w:rsid w:val="00E22B5E"/>
    <w:rsid w:val="00E26B2D"/>
    <w:rsid w:val="00E3022D"/>
    <w:rsid w:val="00E30572"/>
    <w:rsid w:val="00E33A5B"/>
    <w:rsid w:val="00E33E49"/>
    <w:rsid w:val="00E368DE"/>
    <w:rsid w:val="00E41570"/>
    <w:rsid w:val="00E42139"/>
    <w:rsid w:val="00E42ABA"/>
    <w:rsid w:val="00E443AE"/>
    <w:rsid w:val="00E4547E"/>
    <w:rsid w:val="00E47854"/>
    <w:rsid w:val="00E47E12"/>
    <w:rsid w:val="00E52762"/>
    <w:rsid w:val="00E54338"/>
    <w:rsid w:val="00E54871"/>
    <w:rsid w:val="00E559C7"/>
    <w:rsid w:val="00E61557"/>
    <w:rsid w:val="00E62955"/>
    <w:rsid w:val="00E63515"/>
    <w:rsid w:val="00E63FAE"/>
    <w:rsid w:val="00E651DA"/>
    <w:rsid w:val="00E652BE"/>
    <w:rsid w:val="00E65784"/>
    <w:rsid w:val="00E672C8"/>
    <w:rsid w:val="00E67ACE"/>
    <w:rsid w:val="00E711C2"/>
    <w:rsid w:val="00E7584D"/>
    <w:rsid w:val="00E75D3F"/>
    <w:rsid w:val="00E77D4A"/>
    <w:rsid w:val="00E81D9E"/>
    <w:rsid w:val="00E822B0"/>
    <w:rsid w:val="00E824E1"/>
    <w:rsid w:val="00E83450"/>
    <w:rsid w:val="00E871F9"/>
    <w:rsid w:val="00E91A35"/>
    <w:rsid w:val="00E92645"/>
    <w:rsid w:val="00E92EF8"/>
    <w:rsid w:val="00E947E4"/>
    <w:rsid w:val="00E95447"/>
    <w:rsid w:val="00E96D1C"/>
    <w:rsid w:val="00EA0C47"/>
    <w:rsid w:val="00EA11CB"/>
    <w:rsid w:val="00EA1953"/>
    <w:rsid w:val="00EA2E59"/>
    <w:rsid w:val="00EA40EF"/>
    <w:rsid w:val="00EA6BD7"/>
    <w:rsid w:val="00EA75F1"/>
    <w:rsid w:val="00EB2634"/>
    <w:rsid w:val="00EB3856"/>
    <w:rsid w:val="00EB420D"/>
    <w:rsid w:val="00EC05F2"/>
    <w:rsid w:val="00EC0808"/>
    <w:rsid w:val="00EC15C0"/>
    <w:rsid w:val="00EC1615"/>
    <w:rsid w:val="00EC3205"/>
    <w:rsid w:val="00EC45AD"/>
    <w:rsid w:val="00EC58AB"/>
    <w:rsid w:val="00EC72A0"/>
    <w:rsid w:val="00ED1B56"/>
    <w:rsid w:val="00ED23FE"/>
    <w:rsid w:val="00ED2607"/>
    <w:rsid w:val="00ED3353"/>
    <w:rsid w:val="00ED3596"/>
    <w:rsid w:val="00ED559B"/>
    <w:rsid w:val="00ED55FB"/>
    <w:rsid w:val="00ED57BA"/>
    <w:rsid w:val="00ED7735"/>
    <w:rsid w:val="00EE1497"/>
    <w:rsid w:val="00EE6964"/>
    <w:rsid w:val="00EF0701"/>
    <w:rsid w:val="00EF1DBF"/>
    <w:rsid w:val="00EF2766"/>
    <w:rsid w:val="00EF2951"/>
    <w:rsid w:val="00EF4E2F"/>
    <w:rsid w:val="00EF62CB"/>
    <w:rsid w:val="00EF782F"/>
    <w:rsid w:val="00F02FC8"/>
    <w:rsid w:val="00F04F90"/>
    <w:rsid w:val="00F10139"/>
    <w:rsid w:val="00F1610F"/>
    <w:rsid w:val="00F16B22"/>
    <w:rsid w:val="00F17B65"/>
    <w:rsid w:val="00F22F64"/>
    <w:rsid w:val="00F22F73"/>
    <w:rsid w:val="00F23043"/>
    <w:rsid w:val="00F23FA0"/>
    <w:rsid w:val="00F24121"/>
    <w:rsid w:val="00F2494B"/>
    <w:rsid w:val="00F258A3"/>
    <w:rsid w:val="00F25CF7"/>
    <w:rsid w:val="00F35CD5"/>
    <w:rsid w:val="00F36ED6"/>
    <w:rsid w:val="00F42FF8"/>
    <w:rsid w:val="00F434A2"/>
    <w:rsid w:val="00F44B92"/>
    <w:rsid w:val="00F464AD"/>
    <w:rsid w:val="00F46F41"/>
    <w:rsid w:val="00F50141"/>
    <w:rsid w:val="00F503F2"/>
    <w:rsid w:val="00F50F7B"/>
    <w:rsid w:val="00F51298"/>
    <w:rsid w:val="00F52BD9"/>
    <w:rsid w:val="00F54C1A"/>
    <w:rsid w:val="00F559F5"/>
    <w:rsid w:val="00F606A7"/>
    <w:rsid w:val="00F609DF"/>
    <w:rsid w:val="00F6293F"/>
    <w:rsid w:val="00F62B5F"/>
    <w:rsid w:val="00F648E3"/>
    <w:rsid w:val="00F65EA9"/>
    <w:rsid w:val="00F66E64"/>
    <w:rsid w:val="00F71086"/>
    <w:rsid w:val="00F72A3C"/>
    <w:rsid w:val="00F753EC"/>
    <w:rsid w:val="00F810FA"/>
    <w:rsid w:val="00F82FCC"/>
    <w:rsid w:val="00F8337B"/>
    <w:rsid w:val="00F85082"/>
    <w:rsid w:val="00F90D21"/>
    <w:rsid w:val="00F92905"/>
    <w:rsid w:val="00F92A22"/>
    <w:rsid w:val="00F93EF9"/>
    <w:rsid w:val="00F9504D"/>
    <w:rsid w:val="00F95F9F"/>
    <w:rsid w:val="00F96893"/>
    <w:rsid w:val="00F97B60"/>
    <w:rsid w:val="00FA3C31"/>
    <w:rsid w:val="00FA5AE1"/>
    <w:rsid w:val="00FA7806"/>
    <w:rsid w:val="00FB33FC"/>
    <w:rsid w:val="00FB4514"/>
    <w:rsid w:val="00FB581B"/>
    <w:rsid w:val="00FB6A47"/>
    <w:rsid w:val="00FB708B"/>
    <w:rsid w:val="00FB72CE"/>
    <w:rsid w:val="00FB7414"/>
    <w:rsid w:val="00FC09A8"/>
    <w:rsid w:val="00FC19A0"/>
    <w:rsid w:val="00FC4357"/>
    <w:rsid w:val="00FC738F"/>
    <w:rsid w:val="00FD058B"/>
    <w:rsid w:val="00FD1FAF"/>
    <w:rsid w:val="00FD2063"/>
    <w:rsid w:val="00FD326E"/>
    <w:rsid w:val="00FD5820"/>
    <w:rsid w:val="00FD5D91"/>
    <w:rsid w:val="00FD67D0"/>
    <w:rsid w:val="00FD7321"/>
    <w:rsid w:val="00FE1E7E"/>
    <w:rsid w:val="00FE28FC"/>
    <w:rsid w:val="00FE33A1"/>
    <w:rsid w:val="00FE5099"/>
    <w:rsid w:val="00FE54EA"/>
    <w:rsid w:val="00FF05A2"/>
    <w:rsid w:val="00FF23AF"/>
    <w:rsid w:val="00FF3EE4"/>
    <w:rsid w:val="00FF4484"/>
    <w:rsid w:val="00FF52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EC5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4E"/>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E81D9E"/>
    <w:pPr>
      <w:numPr>
        <w:ilvl w:val="1"/>
      </w:numPr>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E81D9E"/>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28C7"/>
    <w:pPr>
      <w:tabs>
        <w:tab w:val="center" w:pos="4513"/>
        <w:tab w:val="right" w:pos="9026"/>
      </w:tabs>
      <w:spacing w:line="240" w:lineRule="auto"/>
    </w:pPr>
  </w:style>
  <w:style w:type="character" w:customStyle="1" w:styleId="HeaderChar">
    <w:name w:val="Header Char"/>
    <w:basedOn w:val="DefaultParagraphFont"/>
    <w:link w:val="Header"/>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nhideWhenUsed/>
    <w:rsid w:val="00FD5D91"/>
    <w:pPr>
      <w:spacing w:line="240" w:lineRule="auto"/>
    </w:pPr>
    <w:rPr>
      <w:sz w:val="20"/>
      <w:szCs w:val="20"/>
    </w:rPr>
  </w:style>
  <w:style w:type="character" w:customStyle="1" w:styleId="FootnoteTextChar">
    <w:name w:val="Footnote Text Char"/>
    <w:basedOn w:val="DefaultParagraphFont"/>
    <w:link w:val="FootnoteText"/>
    <w:rsid w:val="00FD5D91"/>
    <w:rPr>
      <w:sz w:val="20"/>
      <w:szCs w:val="20"/>
    </w:rPr>
  </w:style>
  <w:style w:type="character" w:styleId="FootnoteReference">
    <w:name w:val="footnote reference"/>
    <w:basedOn w:val="DefaultParagraphFont"/>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semiHidden/>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semiHidden/>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styleId="Quote">
    <w:name w:val="Quote"/>
    <w:basedOn w:val="BodyText"/>
    <w:next w:val="BodyText"/>
    <w:link w:val="QuoteChar"/>
    <w:qFormat/>
    <w:rsid w:val="00EF2766"/>
    <w:pPr>
      <w:spacing w:before="120" w:after="0" w:line="280" w:lineRule="exact"/>
      <w:ind w:left="340"/>
      <w:jc w:val="both"/>
    </w:pPr>
    <w:rPr>
      <w:rFonts w:ascii="Times New Roman" w:eastAsia="Times New Roman" w:hAnsi="Times New Roman" w:cs="Times New Roman"/>
      <w:sz w:val="22"/>
      <w:szCs w:val="20"/>
      <w:lang w:eastAsia="en-AU"/>
    </w:rPr>
  </w:style>
  <w:style w:type="character" w:customStyle="1" w:styleId="QuoteChar">
    <w:name w:val="Quote Char"/>
    <w:basedOn w:val="DefaultParagraphFont"/>
    <w:link w:val="Quote"/>
    <w:rsid w:val="00EF2766"/>
    <w:rPr>
      <w:rFonts w:ascii="Times New Roman" w:eastAsia="Times New Roman" w:hAnsi="Times New Roman" w:cs="Times New Roman"/>
      <w:szCs w:val="20"/>
      <w:lang w:eastAsia="en-AU"/>
    </w:rPr>
  </w:style>
  <w:style w:type="paragraph" w:styleId="BodyText">
    <w:name w:val="Body Text"/>
    <w:basedOn w:val="Normal"/>
    <w:link w:val="BodyTextChar"/>
    <w:uiPriority w:val="99"/>
    <w:semiHidden/>
    <w:unhideWhenUsed/>
    <w:rsid w:val="00EF2766"/>
    <w:pPr>
      <w:spacing w:after="120"/>
    </w:pPr>
  </w:style>
  <w:style w:type="character" w:customStyle="1" w:styleId="BodyTextChar">
    <w:name w:val="Body Text Char"/>
    <w:basedOn w:val="DefaultParagraphFont"/>
    <w:link w:val="BodyText"/>
    <w:uiPriority w:val="99"/>
    <w:semiHidden/>
    <w:rsid w:val="00EF2766"/>
    <w:rPr>
      <w:sz w:val="24"/>
      <w:szCs w:val="24"/>
    </w:rPr>
  </w:style>
  <w:style w:type="paragraph" w:styleId="ListBullet">
    <w:name w:val="List Bullet"/>
    <w:basedOn w:val="BodyText"/>
    <w:semiHidden/>
    <w:unhideWhenUsed/>
    <w:rsid w:val="00D51B30"/>
    <w:pPr>
      <w:numPr>
        <w:numId w:val="4"/>
      </w:numPr>
      <w:spacing w:before="120" w:after="0" w:line="300" w:lineRule="atLeast"/>
      <w:jc w:val="both"/>
    </w:pPr>
    <w:rPr>
      <w:rFonts w:ascii="Times New Roman" w:eastAsia="Times New Roman" w:hAnsi="Times New Roman" w:cs="Times New Roman"/>
      <w:szCs w:val="20"/>
      <w:lang w:eastAsia="en-AU"/>
    </w:rPr>
  </w:style>
  <w:style w:type="character" w:styleId="FollowedHyperlink">
    <w:name w:val="FollowedHyperlink"/>
    <w:basedOn w:val="DefaultParagraphFont"/>
    <w:uiPriority w:val="99"/>
    <w:semiHidden/>
    <w:unhideWhenUsed/>
    <w:rsid w:val="004A6539"/>
    <w:rPr>
      <w:color w:val="800080" w:themeColor="followedHyperlink"/>
      <w:u w:val="single"/>
    </w:rPr>
  </w:style>
  <w:style w:type="character" w:styleId="Strong">
    <w:name w:val="Strong"/>
    <w:basedOn w:val="DefaultParagraphFont"/>
    <w:uiPriority w:val="22"/>
    <w:qFormat/>
    <w:rsid w:val="0080288B"/>
    <w:rPr>
      <w:b/>
      <w:bCs/>
    </w:rPr>
  </w:style>
  <w:style w:type="paragraph" w:customStyle="1" w:styleId="NumberedMultiList">
    <w:name w:val="Numbered Multi List"/>
    <w:basedOn w:val="Normal"/>
    <w:uiPriority w:val="1"/>
    <w:qFormat/>
    <w:rsid w:val="00A774C5"/>
    <w:pPr>
      <w:numPr>
        <w:numId w:val="16"/>
      </w:numPr>
      <w:spacing w:after="120" w:line="280" w:lineRule="atLeast"/>
    </w:pPr>
  </w:style>
  <w:style w:type="numbering" w:customStyle="1" w:styleId="PWDANumbered">
    <w:name w:val="PWDA_Numbered"/>
    <w:uiPriority w:val="99"/>
    <w:rsid w:val="00A774C5"/>
    <w:pPr>
      <w:numPr>
        <w:numId w:val="16"/>
      </w:numPr>
    </w:pPr>
  </w:style>
  <w:style w:type="paragraph" w:styleId="Title">
    <w:name w:val="Title"/>
    <w:basedOn w:val="Normal"/>
    <w:next w:val="Normal"/>
    <w:link w:val="TitleChar"/>
    <w:uiPriority w:val="10"/>
    <w:qFormat/>
    <w:rsid w:val="00C7629B"/>
    <w:pPr>
      <w:spacing w:before="4080" w:after="200" w:line="276" w:lineRule="auto"/>
      <w:jc w:val="center"/>
    </w:pPr>
    <w:rPr>
      <w:b/>
      <w:sz w:val="28"/>
      <w:szCs w:val="28"/>
    </w:rPr>
  </w:style>
  <w:style w:type="character" w:customStyle="1" w:styleId="TitleChar">
    <w:name w:val="Title Char"/>
    <w:basedOn w:val="DefaultParagraphFont"/>
    <w:link w:val="Title"/>
    <w:uiPriority w:val="10"/>
    <w:rsid w:val="00C7629B"/>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C4E"/>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1"/>
      </w:numPr>
      <w:autoSpaceDE w:val="0"/>
      <w:autoSpaceDN w:val="0"/>
      <w:adjustRightInd w:val="0"/>
      <w:spacing w:line="240" w:lineRule="auto"/>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E81D9E"/>
    <w:pPr>
      <w:numPr>
        <w:ilvl w:val="1"/>
      </w:numPr>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E81D9E"/>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28C7"/>
    <w:pPr>
      <w:tabs>
        <w:tab w:val="center" w:pos="4513"/>
        <w:tab w:val="right" w:pos="9026"/>
      </w:tabs>
      <w:spacing w:line="240" w:lineRule="auto"/>
    </w:pPr>
  </w:style>
  <w:style w:type="character" w:customStyle="1" w:styleId="HeaderChar">
    <w:name w:val="Header Char"/>
    <w:basedOn w:val="DefaultParagraphFont"/>
    <w:link w:val="Header"/>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nhideWhenUsed/>
    <w:rsid w:val="00FD5D91"/>
    <w:pPr>
      <w:spacing w:line="240" w:lineRule="auto"/>
    </w:pPr>
    <w:rPr>
      <w:sz w:val="20"/>
      <w:szCs w:val="20"/>
    </w:rPr>
  </w:style>
  <w:style w:type="character" w:customStyle="1" w:styleId="FootnoteTextChar">
    <w:name w:val="Footnote Text Char"/>
    <w:basedOn w:val="DefaultParagraphFont"/>
    <w:link w:val="FootnoteText"/>
    <w:rsid w:val="00FD5D91"/>
    <w:rPr>
      <w:sz w:val="20"/>
      <w:szCs w:val="20"/>
    </w:rPr>
  </w:style>
  <w:style w:type="character" w:styleId="FootnoteReference">
    <w:name w:val="footnote reference"/>
    <w:basedOn w:val="DefaultParagraphFont"/>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semiHidden/>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semiHidden/>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styleId="Quote">
    <w:name w:val="Quote"/>
    <w:basedOn w:val="BodyText"/>
    <w:next w:val="BodyText"/>
    <w:link w:val="QuoteChar"/>
    <w:qFormat/>
    <w:rsid w:val="00EF2766"/>
    <w:pPr>
      <w:spacing w:before="120" w:after="0" w:line="280" w:lineRule="exact"/>
      <w:ind w:left="340"/>
      <w:jc w:val="both"/>
    </w:pPr>
    <w:rPr>
      <w:rFonts w:ascii="Times New Roman" w:eastAsia="Times New Roman" w:hAnsi="Times New Roman" w:cs="Times New Roman"/>
      <w:sz w:val="22"/>
      <w:szCs w:val="20"/>
      <w:lang w:eastAsia="en-AU"/>
    </w:rPr>
  </w:style>
  <w:style w:type="character" w:customStyle="1" w:styleId="QuoteChar">
    <w:name w:val="Quote Char"/>
    <w:basedOn w:val="DefaultParagraphFont"/>
    <w:link w:val="Quote"/>
    <w:rsid w:val="00EF2766"/>
    <w:rPr>
      <w:rFonts w:ascii="Times New Roman" w:eastAsia="Times New Roman" w:hAnsi="Times New Roman" w:cs="Times New Roman"/>
      <w:szCs w:val="20"/>
      <w:lang w:eastAsia="en-AU"/>
    </w:rPr>
  </w:style>
  <w:style w:type="paragraph" w:styleId="BodyText">
    <w:name w:val="Body Text"/>
    <w:basedOn w:val="Normal"/>
    <w:link w:val="BodyTextChar"/>
    <w:uiPriority w:val="99"/>
    <w:semiHidden/>
    <w:unhideWhenUsed/>
    <w:rsid w:val="00EF2766"/>
    <w:pPr>
      <w:spacing w:after="120"/>
    </w:pPr>
  </w:style>
  <w:style w:type="character" w:customStyle="1" w:styleId="BodyTextChar">
    <w:name w:val="Body Text Char"/>
    <w:basedOn w:val="DefaultParagraphFont"/>
    <w:link w:val="BodyText"/>
    <w:uiPriority w:val="99"/>
    <w:semiHidden/>
    <w:rsid w:val="00EF2766"/>
    <w:rPr>
      <w:sz w:val="24"/>
      <w:szCs w:val="24"/>
    </w:rPr>
  </w:style>
  <w:style w:type="paragraph" w:styleId="ListBullet">
    <w:name w:val="List Bullet"/>
    <w:basedOn w:val="BodyText"/>
    <w:semiHidden/>
    <w:unhideWhenUsed/>
    <w:rsid w:val="00D51B30"/>
    <w:pPr>
      <w:numPr>
        <w:numId w:val="4"/>
      </w:numPr>
      <w:spacing w:before="120" w:after="0" w:line="300" w:lineRule="atLeast"/>
      <w:jc w:val="both"/>
    </w:pPr>
    <w:rPr>
      <w:rFonts w:ascii="Times New Roman" w:eastAsia="Times New Roman" w:hAnsi="Times New Roman" w:cs="Times New Roman"/>
      <w:szCs w:val="20"/>
      <w:lang w:eastAsia="en-AU"/>
    </w:rPr>
  </w:style>
  <w:style w:type="character" w:styleId="FollowedHyperlink">
    <w:name w:val="FollowedHyperlink"/>
    <w:basedOn w:val="DefaultParagraphFont"/>
    <w:uiPriority w:val="99"/>
    <w:semiHidden/>
    <w:unhideWhenUsed/>
    <w:rsid w:val="004A6539"/>
    <w:rPr>
      <w:color w:val="800080" w:themeColor="followedHyperlink"/>
      <w:u w:val="single"/>
    </w:rPr>
  </w:style>
  <w:style w:type="character" w:styleId="Strong">
    <w:name w:val="Strong"/>
    <w:basedOn w:val="DefaultParagraphFont"/>
    <w:uiPriority w:val="22"/>
    <w:qFormat/>
    <w:rsid w:val="0080288B"/>
    <w:rPr>
      <w:b/>
      <w:bCs/>
    </w:rPr>
  </w:style>
  <w:style w:type="paragraph" w:customStyle="1" w:styleId="NumberedMultiList">
    <w:name w:val="Numbered Multi List"/>
    <w:basedOn w:val="Normal"/>
    <w:uiPriority w:val="1"/>
    <w:qFormat/>
    <w:rsid w:val="00A774C5"/>
    <w:pPr>
      <w:numPr>
        <w:numId w:val="16"/>
      </w:numPr>
      <w:spacing w:after="120" w:line="280" w:lineRule="atLeast"/>
    </w:pPr>
  </w:style>
  <w:style w:type="numbering" w:customStyle="1" w:styleId="PWDANumbered">
    <w:name w:val="PWDA_Numbered"/>
    <w:uiPriority w:val="99"/>
    <w:rsid w:val="00A774C5"/>
    <w:pPr>
      <w:numPr>
        <w:numId w:val="16"/>
      </w:numPr>
    </w:pPr>
  </w:style>
  <w:style w:type="paragraph" w:styleId="Title">
    <w:name w:val="Title"/>
    <w:basedOn w:val="Normal"/>
    <w:next w:val="Normal"/>
    <w:link w:val="TitleChar"/>
    <w:uiPriority w:val="10"/>
    <w:qFormat/>
    <w:rsid w:val="00C7629B"/>
    <w:pPr>
      <w:spacing w:before="4080" w:after="200" w:line="276" w:lineRule="auto"/>
      <w:jc w:val="center"/>
    </w:pPr>
    <w:rPr>
      <w:b/>
      <w:sz w:val="28"/>
      <w:szCs w:val="28"/>
    </w:rPr>
  </w:style>
  <w:style w:type="character" w:customStyle="1" w:styleId="TitleChar">
    <w:name w:val="Title Char"/>
    <w:basedOn w:val="DefaultParagraphFont"/>
    <w:link w:val="Title"/>
    <w:uiPriority w:val="10"/>
    <w:rsid w:val="00C7629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39442438">
      <w:bodyDiv w:val="1"/>
      <w:marLeft w:val="0"/>
      <w:marRight w:val="0"/>
      <w:marTop w:val="0"/>
      <w:marBottom w:val="0"/>
      <w:divBdr>
        <w:top w:val="none" w:sz="0" w:space="0" w:color="auto"/>
        <w:left w:val="none" w:sz="0" w:space="0" w:color="auto"/>
        <w:bottom w:val="none" w:sz="0" w:space="0" w:color="auto"/>
        <w:right w:val="none" w:sz="0" w:space="0" w:color="auto"/>
      </w:divBdr>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840391190">
      <w:bodyDiv w:val="1"/>
      <w:marLeft w:val="0"/>
      <w:marRight w:val="0"/>
      <w:marTop w:val="0"/>
      <w:marBottom w:val="0"/>
      <w:divBdr>
        <w:top w:val="none" w:sz="0" w:space="0" w:color="auto"/>
        <w:left w:val="none" w:sz="0" w:space="0" w:color="auto"/>
        <w:bottom w:val="none" w:sz="0" w:space="0" w:color="auto"/>
        <w:right w:val="none" w:sz="0" w:space="0" w:color="auto"/>
      </w:divBdr>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983510271">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6138">
      <w:bodyDiv w:val="1"/>
      <w:marLeft w:val="0"/>
      <w:marRight w:val="0"/>
      <w:marTop w:val="0"/>
      <w:marBottom w:val="0"/>
      <w:divBdr>
        <w:top w:val="none" w:sz="0" w:space="0" w:color="auto"/>
        <w:left w:val="none" w:sz="0" w:space="0" w:color="auto"/>
        <w:bottom w:val="none" w:sz="0" w:space="0" w:color="auto"/>
        <w:right w:val="none" w:sz="0" w:space="0" w:color="auto"/>
      </w:divBdr>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559709133">
      <w:bodyDiv w:val="1"/>
      <w:marLeft w:val="0"/>
      <w:marRight w:val="0"/>
      <w:marTop w:val="0"/>
      <w:marBottom w:val="0"/>
      <w:divBdr>
        <w:top w:val="none" w:sz="0" w:space="0" w:color="auto"/>
        <w:left w:val="none" w:sz="0" w:space="0" w:color="auto"/>
        <w:bottom w:val="none" w:sz="0" w:space="0" w:color="auto"/>
        <w:right w:val="none" w:sz="0" w:space="0" w:color="auto"/>
      </w:divBdr>
    </w:div>
    <w:div w:id="1642154229">
      <w:bodyDiv w:val="1"/>
      <w:marLeft w:val="0"/>
      <w:marRight w:val="0"/>
      <w:marTop w:val="0"/>
      <w:marBottom w:val="0"/>
      <w:divBdr>
        <w:top w:val="none" w:sz="0" w:space="0" w:color="auto"/>
        <w:left w:val="none" w:sz="0" w:space="0" w:color="auto"/>
        <w:bottom w:val="none" w:sz="0" w:space="0" w:color="auto"/>
        <w:right w:val="none" w:sz="0" w:space="0" w:color="auto"/>
      </w:divBdr>
    </w:div>
    <w:div w:id="1683893221">
      <w:bodyDiv w:val="1"/>
      <w:marLeft w:val="0"/>
      <w:marRight w:val="0"/>
      <w:marTop w:val="0"/>
      <w:marBottom w:val="0"/>
      <w:divBdr>
        <w:top w:val="none" w:sz="0" w:space="0" w:color="auto"/>
        <w:left w:val="none" w:sz="0" w:space="0" w:color="auto"/>
        <w:bottom w:val="none" w:sz="0" w:space="0" w:color="auto"/>
        <w:right w:val="none" w:sz="0" w:space="0" w:color="auto"/>
      </w:divBdr>
    </w:div>
    <w:div w:id="1757702777">
      <w:bodyDiv w:val="1"/>
      <w:marLeft w:val="0"/>
      <w:marRight w:val="0"/>
      <w:marTop w:val="0"/>
      <w:marBottom w:val="0"/>
      <w:divBdr>
        <w:top w:val="none" w:sz="0" w:space="0" w:color="auto"/>
        <w:left w:val="none" w:sz="0" w:space="0" w:color="auto"/>
        <w:bottom w:val="none" w:sz="0" w:space="0" w:color="auto"/>
        <w:right w:val="none" w:sz="0" w:space="0" w:color="auto"/>
      </w:divBdr>
    </w:div>
    <w:div w:id="1793818215">
      <w:bodyDiv w:val="1"/>
      <w:marLeft w:val="0"/>
      <w:marRight w:val="0"/>
      <w:marTop w:val="0"/>
      <w:marBottom w:val="0"/>
      <w:divBdr>
        <w:top w:val="none" w:sz="0" w:space="0" w:color="auto"/>
        <w:left w:val="none" w:sz="0" w:space="0" w:color="auto"/>
        <w:bottom w:val="none" w:sz="0" w:space="0" w:color="auto"/>
        <w:right w:val="none" w:sz="0" w:space="0" w:color="auto"/>
      </w:divBdr>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37765">
      <w:bodyDiv w:val="1"/>
      <w:marLeft w:val="0"/>
      <w:marRight w:val="0"/>
      <w:marTop w:val="0"/>
      <w:marBottom w:val="0"/>
      <w:divBdr>
        <w:top w:val="none" w:sz="0" w:space="0" w:color="auto"/>
        <w:left w:val="none" w:sz="0" w:space="0" w:color="auto"/>
        <w:bottom w:val="none" w:sz="0" w:space="0" w:color="auto"/>
        <w:right w:val="none" w:sz="0" w:space="0" w:color="auto"/>
      </w:divBdr>
    </w:div>
    <w:div w:id="2111705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youtube.com/watch?v=DF1UPAPyWmY"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jfapurpleorang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purpleorange.org.a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disabilities/violence/en/" TargetMode="External"/><Relationship Id="rId2" Type="http://schemas.openxmlformats.org/officeDocument/2006/relationships/hyperlink" Target="https://lsc.sa.gov.au/cb_pages/rights_on_show.php" TargetMode="External"/><Relationship Id="rId1" Type="http://schemas.openxmlformats.org/officeDocument/2006/relationships/hyperlink" Target="http://www.wdv.org.au/documents/WDV%20Violence%20Position%20Paper%20(web%20version).pdf" TargetMode="External"/><Relationship Id="rId5" Type="http://schemas.openxmlformats.org/officeDocument/2006/relationships/hyperlink" Target="http://dvvic.org.au/_wordpress/wp-content/uploads/2018/05/Review-of-the-Family-Law-System_Issues-Paper_Domestic-Violence-Victoria_14.5.18.pdf" TargetMode="External"/><Relationship Id="rId4" Type="http://schemas.openxmlformats.org/officeDocument/2006/relationships/hyperlink" Target="https://www.ndis.gov.au/families-carers/family-sup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b:Tag>
    <b:SourceType>Report</b:SourceType>
    <b:Guid>{219EAE8D-11FA-4AFA-BBFD-5CFE9B2B0A9E}</b:Guid>
    <b:Title>https://www.dss.gov.au/sites/default/files/documents/04_2018/drc_communique_-_30_april_2018.pdf</b:Title>
    <b:RefOrder>1</b:RefOrder>
  </b:Source>
</b:Sources>
</file>

<file path=customXml/itemProps1.xml><?xml version="1.0" encoding="utf-8"?>
<ds:datastoreItem xmlns:ds="http://schemas.openxmlformats.org/officeDocument/2006/customXml" ds:itemID="{FFEA1353-5850-4E67-8373-C41530847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22</Pages>
  <Words>5122</Words>
  <Characters>29202</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Anne-Marie Loebel</dc:creator>
  <cp:lastModifiedBy>Jackie Hayes</cp:lastModifiedBy>
  <cp:revision>15</cp:revision>
  <cp:lastPrinted>2018-11-13T03:48:00Z</cp:lastPrinted>
  <dcterms:created xsi:type="dcterms:W3CDTF">2018-11-13T03:28:00Z</dcterms:created>
  <dcterms:modified xsi:type="dcterms:W3CDTF">2018-11-13T03:48:00Z</dcterms:modified>
</cp:coreProperties>
</file>