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D63717">
      <w:pPr>
        <w:pStyle w:val="Heading10"/>
        <w:spacing w:after="120" w:line="240" w:lineRule="auto"/>
        <w:rPr>
          <w:sz w:val="32"/>
          <w:szCs w:val="32"/>
        </w:rPr>
      </w:pPr>
      <w:r w:rsidRPr="00BB63F3">
        <w:rPr>
          <w:sz w:val="32"/>
          <w:szCs w:val="32"/>
        </w:rPr>
        <w:t>Inclusive School Practices Toolkit</w:t>
      </w:r>
    </w:p>
    <w:p w14:paraId="001A7045" w14:textId="4BC05F99" w:rsidR="00B329F6" w:rsidRPr="00BB63F3" w:rsidRDefault="00866140" w:rsidP="00D63717">
      <w:pPr>
        <w:pStyle w:val="Heading10"/>
        <w:spacing w:after="120" w:line="240" w:lineRule="auto"/>
        <w:rPr>
          <w:sz w:val="48"/>
          <w:szCs w:val="48"/>
        </w:rPr>
      </w:pPr>
      <w:bookmarkStart w:id="0" w:name="_Hlk26954774"/>
      <w:r w:rsidRPr="00866140">
        <w:rPr>
          <w:sz w:val="48"/>
          <w:szCs w:val="48"/>
        </w:rPr>
        <w:t>The</w:t>
      </w:r>
      <w:r w:rsidR="00726A29">
        <w:rPr>
          <w:sz w:val="48"/>
          <w:szCs w:val="48"/>
        </w:rPr>
        <w:t xml:space="preserve"> High Road and the Low Road:</w:t>
      </w:r>
      <w:r w:rsidRPr="00866140">
        <w:rPr>
          <w:sz w:val="48"/>
          <w:szCs w:val="48"/>
        </w:rPr>
        <w:t xml:space="preserve"> </w:t>
      </w:r>
      <w:r w:rsidR="007110FE">
        <w:rPr>
          <w:sz w:val="48"/>
          <w:szCs w:val="48"/>
        </w:rPr>
        <w:t xml:space="preserve">The </w:t>
      </w:r>
      <w:r w:rsidRPr="00866140">
        <w:rPr>
          <w:sz w:val="48"/>
          <w:szCs w:val="48"/>
        </w:rPr>
        <w:t xml:space="preserve">Difference Between Safety and Safeguards </w:t>
      </w:r>
    </w:p>
    <w:bookmarkEnd w:id="0"/>
    <w:p w14:paraId="1222DD9D" w14:textId="2C58DCE8" w:rsidR="00BB63F3" w:rsidRPr="00827D90" w:rsidRDefault="00BB63F3" w:rsidP="00D63717">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D63717">
      <w:pPr>
        <w:spacing w:after="120" w:line="240" w:lineRule="auto"/>
        <w:ind w:left="0" w:right="0" w:firstLine="0"/>
        <w:rPr>
          <w:rFonts w:ascii="Calibri" w:eastAsia="Calibri" w:hAnsi="Calibri" w:cs="Calibri"/>
          <w:color w:val="auto"/>
          <w:szCs w:val="24"/>
        </w:rPr>
      </w:pPr>
    </w:p>
    <w:p w14:paraId="1151C316" w14:textId="015C7123" w:rsidR="00293303" w:rsidRDefault="007A2C9C" w:rsidP="00D63717">
      <w:pPr>
        <w:pStyle w:val="Heading2"/>
        <w:spacing w:before="0" w:after="120" w:line="240" w:lineRule="auto"/>
        <w:ind w:left="0"/>
      </w:pPr>
      <w:r w:rsidRPr="007A2C9C">
        <w:t>Introduction</w:t>
      </w:r>
    </w:p>
    <w:p w14:paraId="68ABFCAD" w14:textId="72F9E90B" w:rsidR="00EF08B9" w:rsidRDefault="003472B9" w:rsidP="00D63717">
      <w:pPr>
        <w:spacing w:after="120" w:line="240" w:lineRule="auto"/>
        <w:ind w:left="0" w:right="0" w:firstLine="0"/>
        <w:rPr>
          <w:rFonts w:asciiTheme="minorHAnsi" w:hAnsiTheme="minorHAnsi" w:cstheme="minorHAnsi"/>
          <w:color w:val="auto"/>
          <w:szCs w:val="24"/>
        </w:rPr>
      </w:pPr>
      <w:r w:rsidRPr="003472B9">
        <w:rPr>
          <w:rFonts w:asciiTheme="minorHAnsi" w:hAnsiTheme="minorHAnsi" w:cstheme="minorHAnsi"/>
          <w:color w:val="auto"/>
          <w:szCs w:val="24"/>
        </w:rPr>
        <w:t xml:space="preserve">Often, a reason why a student of diverse ability is excluded from a </w:t>
      </w:r>
      <w:r w:rsidR="0029515E">
        <w:rPr>
          <w:rFonts w:asciiTheme="minorHAnsi" w:hAnsiTheme="minorHAnsi" w:cstheme="minorHAnsi"/>
          <w:color w:val="auto"/>
          <w:szCs w:val="24"/>
        </w:rPr>
        <w:t xml:space="preserve">general education </w:t>
      </w:r>
      <w:r w:rsidR="005E67D3">
        <w:rPr>
          <w:rFonts w:asciiTheme="minorHAnsi" w:hAnsiTheme="minorHAnsi" w:cstheme="minorHAnsi"/>
          <w:color w:val="auto"/>
          <w:szCs w:val="24"/>
        </w:rPr>
        <w:t>classroom</w:t>
      </w:r>
      <w:r w:rsidR="0029515E">
        <w:rPr>
          <w:rFonts w:asciiTheme="minorHAnsi" w:hAnsiTheme="minorHAnsi" w:cstheme="minorHAnsi"/>
          <w:color w:val="auto"/>
          <w:szCs w:val="24"/>
        </w:rPr>
        <w:t xml:space="preserve"> (</w:t>
      </w:r>
      <w:r w:rsidR="00765A89">
        <w:rPr>
          <w:rFonts w:asciiTheme="minorHAnsi" w:hAnsiTheme="minorHAnsi" w:cstheme="minorHAnsi"/>
          <w:color w:val="auto"/>
          <w:szCs w:val="24"/>
        </w:rPr>
        <w:t xml:space="preserve">referred hereon as </w:t>
      </w:r>
      <w:r w:rsidR="0029515E">
        <w:rPr>
          <w:rFonts w:asciiTheme="minorHAnsi" w:hAnsiTheme="minorHAnsi" w:cstheme="minorHAnsi"/>
          <w:color w:val="auto"/>
          <w:szCs w:val="24"/>
        </w:rPr>
        <w:t>mainstream</w:t>
      </w:r>
      <w:r w:rsidR="00275B4A">
        <w:rPr>
          <w:rFonts w:asciiTheme="minorHAnsi" w:hAnsiTheme="minorHAnsi" w:cstheme="minorHAnsi"/>
          <w:color w:val="auto"/>
          <w:szCs w:val="24"/>
        </w:rPr>
        <w:t xml:space="preserve"> classroom or setting</w:t>
      </w:r>
      <w:r w:rsidR="0029515E">
        <w:rPr>
          <w:rFonts w:asciiTheme="minorHAnsi" w:hAnsiTheme="minorHAnsi" w:cstheme="minorHAnsi"/>
          <w:color w:val="auto"/>
          <w:szCs w:val="24"/>
        </w:rPr>
        <w:t>)</w:t>
      </w:r>
      <w:r w:rsidRPr="003472B9">
        <w:rPr>
          <w:rFonts w:asciiTheme="minorHAnsi" w:hAnsiTheme="minorHAnsi" w:cstheme="minorHAnsi"/>
          <w:color w:val="auto"/>
          <w:szCs w:val="24"/>
        </w:rPr>
        <w:t xml:space="preserve">, or </w:t>
      </w:r>
      <w:r w:rsidR="005E67D3">
        <w:rPr>
          <w:rFonts w:asciiTheme="minorHAnsi" w:hAnsiTheme="minorHAnsi" w:cstheme="minorHAnsi"/>
          <w:color w:val="auto"/>
          <w:szCs w:val="24"/>
        </w:rPr>
        <w:t>removed</w:t>
      </w:r>
      <w:r w:rsidRPr="003472B9">
        <w:rPr>
          <w:rFonts w:asciiTheme="minorHAnsi" w:hAnsiTheme="minorHAnsi" w:cstheme="minorHAnsi"/>
          <w:color w:val="auto"/>
          <w:szCs w:val="24"/>
        </w:rPr>
        <w:t xml:space="preserve"> to a special education </w:t>
      </w:r>
      <w:r w:rsidR="0029515E">
        <w:rPr>
          <w:rFonts w:asciiTheme="minorHAnsi" w:hAnsiTheme="minorHAnsi" w:cstheme="minorHAnsi"/>
          <w:color w:val="auto"/>
          <w:szCs w:val="24"/>
        </w:rPr>
        <w:t>setting</w:t>
      </w:r>
      <w:r w:rsidRPr="003472B9">
        <w:rPr>
          <w:rFonts w:asciiTheme="minorHAnsi" w:hAnsiTheme="minorHAnsi" w:cstheme="minorHAnsi"/>
          <w:color w:val="auto"/>
          <w:szCs w:val="24"/>
        </w:rPr>
        <w:t>, is because that student</w:t>
      </w:r>
      <w:r w:rsidR="009D229D">
        <w:rPr>
          <w:rFonts w:asciiTheme="minorHAnsi" w:hAnsiTheme="minorHAnsi" w:cstheme="minorHAnsi"/>
          <w:color w:val="auto"/>
          <w:szCs w:val="24"/>
        </w:rPr>
        <w:t xml:space="preserve"> </w:t>
      </w:r>
      <w:r w:rsidRPr="003472B9">
        <w:rPr>
          <w:rFonts w:asciiTheme="minorHAnsi" w:hAnsiTheme="minorHAnsi" w:cstheme="minorHAnsi"/>
          <w:color w:val="auto"/>
          <w:szCs w:val="24"/>
        </w:rPr>
        <w:t>use</w:t>
      </w:r>
      <w:r w:rsidR="009D229D">
        <w:rPr>
          <w:rFonts w:asciiTheme="minorHAnsi" w:hAnsiTheme="minorHAnsi" w:cstheme="minorHAnsi"/>
          <w:color w:val="auto"/>
          <w:szCs w:val="24"/>
        </w:rPr>
        <w:t xml:space="preserve">s </w:t>
      </w:r>
      <w:r w:rsidRPr="003472B9">
        <w:rPr>
          <w:rFonts w:asciiTheme="minorHAnsi" w:hAnsiTheme="minorHAnsi" w:cstheme="minorHAnsi"/>
          <w:color w:val="auto"/>
          <w:szCs w:val="24"/>
        </w:rPr>
        <w:t xml:space="preserve">behaviour that causes </w:t>
      </w:r>
      <w:r w:rsidR="00982A89" w:rsidRPr="003472B9">
        <w:rPr>
          <w:rFonts w:asciiTheme="minorHAnsi" w:hAnsiTheme="minorHAnsi" w:cstheme="minorHAnsi"/>
          <w:color w:val="auto"/>
          <w:szCs w:val="24"/>
        </w:rPr>
        <w:t xml:space="preserve">concern </w:t>
      </w:r>
      <w:r w:rsidR="00982A89">
        <w:rPr>
          <w:rFonts w:asciiTheme="minorHAnsi" w:hAnsiTheme="minorHAnsi" w:cstheme="minorHAnsi"/>
          <w:color w:val="auto"/>
          <w:szCs w:val="24"/>
        </w:rPr>
        <w:t xml:space="preserve">to </w:t>
      </w:r>
      <w:r w:rsidRPr="003472B9">
        <w:rPr>
          <w:rFonts w:asciiTheme="minorHAnsi" w:hAnsiTheme="minorHAnsi" w:cstheme="minorHAnsi"/>
          <w:color w:val="auto"/>
          <w:szCs w:val="24"/>
        </w:rPr>
        <w:t>other people.</w:t>
      </w:r>
      <w:r w:rsidR="00EF08B9">
        <w:rPr>
          <w:rFonts w:asciiTheme="minorHAnsi" w:hAnsiTheme="minorHAnsi" w:cstheme="minorHAnsi"/>
          <w:color w:val="auto"/>
          <w:szCs w:val="24"/>
        </w:rPr>
        <w:t xml:space="preserve"> </w:t>
      </w:r>
      <w:r w:rsidR="00FC2F89">
        <w:rPr>
          <w:rFonts w:asciiTheme="minorHAnsi" w:hAnsiTheme="minorHAnsi" w:cstheme="minorHAnsi"/>
          <w:color w:val="auto"/>
          <w:szCs w:val="24"/>
        </w:rPr>
        <w:t>Currently termed ‘behaviours of concern’, these</w:t>
      </w:r>
      <w:r w:rsidR="00EF08B9">
        <w:rPr>
          <w:rFonts w:asciiTheme="minorHAnsi" w:hAnsiTheme="minorHAnsi" w:cstheme="minorHAnsi"/>
          <w:color w:val="auto"/>
          <w:szCs w:val="24"/>
        </w:rPr>
        <w:t xml:space="preserve"> </w:t>
      </w:r>
      <w:r w:rsidR="00FC2F89">
        <w:rPr>
          <w:rFonts w:asciiTheme="minorHAnsi" w:hAnsiTheme="minorHAnsi" w:cstheme="minorHAnsi"/>
          <w:color w:val="auto"/>
          <w:szCs w:val="24"/>
        </w:rPr>
        <w:t>are</w:t>
      </w:r>
      <w:r w:rsidR="00EF08B9">
        <w:rPr>
          <w:rFonts w:asciiTheme="minorHAnsi" w:hAnsiTheme="minorHAnsi" w:cstheme="minorHAnsi"/>
          <w:color w:val="auto"/>
          <w:szCs w:val="24"/>
        </w:rPr>
        <w:t xml:space="preserve"> behaviours that could </w:t>
      </w:r>
      <w:r w:rsidR="00EF08B9" w:rsidRPr="00EF08B9">
        <w:rPr>
          <w:rFonts w:asciiTheme="minorHAnsi" w:hAnsiTheme="minorHAnsi" w:cstheme="minorHAnsi"/>
          <w:color w:val="auto"/>
          <w:szCs w:val="24"/>
        </w:rPr>
        <w:t>cause physical harm or danger to themselves or others</w:t>
      </w:r>
      <w:r w:rsidR="00EF08B9">
        <w:rPr>
          <w:rFonts w:asciiTheme="minorHAnsi" w:hAnsiTheme="minorHAnsi" w:cstheme="minorHAnsi"/>
          <w:color w:val="auto"/>
          <w:szCs w:val="24"/>
        </w:rPr>
        <w:t xml:space="preserve">, </w:t>
      </w:r>
      <w:r w:rsidRPr="003472B9">
        <w:rPr>
          <w:rFonts w:asciiTheme="minorHAnsi" w:hAnsiTheme="minorHAnsi" w:cstheme="minorHAnsi"/>
          <w:color w:val="auto"/>
          <w:szCs w:val="24"/>
        </w:rPr>
        <w:t xml:space="preserve">or </w:t>
      </w:r>
      <w:r w:rsidR="00EF08B9">
        <w:rPr>
          <w:rFonts w:asciiTheme="minorHAnsi" w:hAnsiTheme="minorHAnsi" w:cstheme="minorHAnsi"/>
          <w:color w:val="auto"/>
          <w:szCs w:val="24"/>
        </w:rPr>
        <w:t xml:space="preserve">cause </w:t>
      </w:r>
      <w:r w:rsidRPr="003472B9">
        <w:rPr>
          <w:rFonts w:asciiTheme="minorHAnsi" w:hAnsiTheme="minorHAnsi" w:cstheme="minorHAnsi"/>
          <w:color w:val="auto"/>
          <w:szCs w:val="24"/>
        </w:rPr>
        <w:t>damage to property.</w:t>
      </w:r>
      <w:r w:rsidR="00EF08B9">
        <w:rPr>
          <w:rFonts w:asciiTheme="minorHAnsi" w:hAnsiTheme="minorHAnsi" w:cstheme="minorHAnsi"/>
          <w:color w:val="auto"/>
          <w:szCs w:val="24"/>
        </w:rPr>
        <w:t xml:space="preserve"> </w:t>
      </w:r>
      <w:r w:rsidR="00275B4A">
        <w:rPr>
          <w:rFonts w:asciiTheme="minorHAnsi" w:hAnsiTheme="minorHAnsi" w:cstheme="minorHAnsi"/>
          <w:color w:val="auto"/>
          <w:szCs w:val="24"/>
        </w:rPr>
        <w:t xml:space="preserve">In schools, </w:t>
      </w:r>
      <w:r w:rsidR="00EF08B9">
        <w:rPr>
          <w:rFonts w:asciiTheme="minorHAnsi" w:hAnsiTheme="minorHAnsi" w:cstheme="minorHAnsi"/>
          <w:color w:val="auto"/>
          <w:szCs w:val="24"/>
        </w:rPr>
        <w:t>“</w:t>
      </w:r>
      <w:r w:rsidR="00EF08B9" w:rsidRPr="00EF08B9">
        <w:rPr>
          <w:rFonts w:asciiTheme="minorHAnsi" w:hAnsiTheme="minorHAnsi" w:cstheme="minorHAnsi"/>
          <w:color w:val="auto"/>
          <w:szCs w:val="24"/>
        </w:rPr>
        <w:t>behaviours of concern can result in distress for the students involved, those witnessing the incident, or their parents and staff members.</w:t>
      </w:r>
      <w:r w:rsidR="00EF08B9">
        <w:rPr>
          <w:rFonts w:asciiTheme="minorHAnsi" w:hAnsiTheme="minorHAnsi" w:cstheme="minorHAnsi"/>
          <w:color w:val="auto"/>
          <w:szCs w:val="24"/>
        </w:rPr>
        <w:t>”</w:t>
      </w:r>
      <w:r w:rsidR="00EF08B9">
        <w:rPr>
          <w:rStyle w:val="FootnoteReference"/>
          <w:rFonts w:asciiTheme="minorHAnsi" w:hAnsiTheme="minorHAnsi" w:cstheme="minorHAnsi"/>
          <w:color w:val="auto"/>
          <w:szCs w:val="24"/>
        </w:rPr>
        <w:footnoteReference w:id="1"/>
      </w:r>
      <w:r w:rsidR="00EF08B9" w:rsidRPr="00EF08B9">
        <w:rPr>
          <w:rFonts w:asciiTheme="minorHAnsi" w:hAnsiTheme="minorHAnsi" w:cstheme="minorHAnsi"/>
          <w:color w:val="auto"/>
          <w:szCs w:val="24"/>
        </w:rPr>
        <w:t xml:space="preserve"> </w:t>
      </w:r>
    </w:p>
    <w:p w14:paraId="53941784" w14:textId="554A09DE" w:rsidR="003472B9" w:rsidRPr="003472B9" w:rsidRDefault="003472B9" w:rsidP="00D63717">
      <w:pPr>
        <w:spacing w:after="120" w:line="240" w:lineRule="auto"/>
        <w:ind w:left="0" w:right="0" w:firstLine="0"/>
        <w:rPr>
          <w:rFonts w:asciiTheme="minorHAnsi" w:hAnsiTheme="minorHAnsi" w:cstheme="minorHAnsi"/>
          <w:color w:val="auto"/>
          <w:szCs w:val="24"/>
        </w:rPr>
      </w:pPr>
      <w:r w:rsidRPr="003472B9">
        <w:rPr>
          <w:rFonts w:asciiTheme="minorHAnsi" w:hAnsiTheme="minorHAnsi" w:cstheme="minorHAnsi"/>
          <w:color w:val="auto"/>
          <w:szCs w:val="24"/>
        </w:rPr>
        <w:t>For a school deepening its practice as an inclusive school community, the challenge is how best to support student</w:t>
      </w:r>
      <w:r w:rsidR="00FC2F89">
        <w:rPr>
          <w:rFonts w:asciiTheme="minorHAnsi" w:hAnsiTheme="minorHAnsi" w:cstheme="minorHAnsi"/>
          <w:color w:val="auto"/>
          <w:szCs w:val="24"/>
        </w:rPr>
        <w:t xml:space="preserve">s </w:t>
      </w:r>
      <w:r w:rsidR="009D229D">
        <w:rPr>
          <w:rFonts w:asciiTheme="minorHAnsi" w:hAnsiTheme="minorHAnsi" w:cstheme="minorHAnsi"/>
          <w:color w:val="auto"/>
          <w:szCs w:val="24"/>
        </w:rPr>
        <w:t>with</w:t>
      </w:r>
      <w:r w:rsidR="00D63717">
        <w:rPr>
          <w:rFonts w:asciiTheme="minorHAnsi" w:hAnsiTheme="minorHAnsi" w:cstheme="minorHAnsi"/>
          <w:color w:val="auto"/>
          <w:szCs w:val="24"/>
        </w:rPr>
        <w:t xml:space="preserve"> such</w:t>
      </w:r>
      <w:r w:rsidR="00FC2F89">
        <w:rPr>
          <w:rFonts w:asciiTheme="minorHAnsi" w:hAnsiTheme="minorHAnsi" w:cstheme="minorHAnsi"/>
          <w:color w:val="auto"/>
          <w:szCs w:val="24"/>
        </w:rPr>
        <w:t xml:space="preserve"> behaviours </w:t>
      </w:r>
      <w:r w:rsidR="009D229D">
        <w:rPr>
          <w:rFonts w:asciiTheme="minorHAnsi" w:hAnsiTheme="minorHAnsi" w:cstheme="minorHAnsi"/>
          <w:color w:val="auto"/>
          <w:szCs w:val="24"/>
        </w:rPr>
        <w:t>so they can</w:t>
      </w:r>
      <w:r w:rsidRPr="003472B9">
        <w:rPr>
          <w:rFonts w:asciiTheme="minorHAnsi" w:hAnsiTheme="minorHAnsi" w:cstheme="minorHAnsi"/>
          <w:color w:val="auto"/>
          <w:szCs w:val="24"/>
        </w:rPr>
        <w:t xml:space="preserve"> remain in th</w:t>
      </w:r>
      <w:r w:rsidR="005E67D3">
        <w:rPr>
          <w:rFonts w:asciiTheme="minorHAnsi" w:hAnsiTheme="minorHAnsi" w:cstheme="minorHAnsi"/>
          <w:color w:val="auto"/>
          <w:szCs w:val="24"/>
        </w:rPr>
        <w:t>e mainstream</w:t>
      </w:r>
      <w:r w:rsidRPr="003472B9">
        <w:rPr>
          <w:rFonts w:asciiTheme="minorHAnsi" w:hAnsiTheme="minorHAnsi" w:cstheme="minorHAnsi"/>
          <w:color w:val="auto"/>
          <w:szCs w:val="24"/>
        </w:rPr>
        <w:t xml:space="preserve"> setting </w:t>
      </w:r>
      <w:r w:rsidR="00FC2F89">
        <w:rPr>
          <w:rFonts w:asciiTheme="minorHAnsi" w:hAnsiTheme="minorHAnsi" w:cstheme="minorHAnsi"/>
          <w:color w:val="auto"/>
          <w:szCs w:val="24"/>
        </w:rPr>
        <w:t xml:space="preserve">and </w:t>
      </w:r>
      <w:r w:rsidR="009D229D">
        <w:rPr>
          <w:rFonts w:asciiTheme="minorHAnsi" w:hAnsiTheme="minorHAnsi" w:cstheme="minorHAnsi"/>
          <w:color w:val="auto"/>
          <w:szCs w:val="24"/>
        </w:rPr>
        <w:t>in ways that</w:t>
      </w:r>
      <w:r w:rsidR="00FC2F89">
        <w:rPr>
          <w:rFonts w:asciiTheme="minorHAnsi" w:hAnsiTheme="minorHAnsi" w:cstheme="minorHAnsi"/>
          <w:color w:val="auto"/>
          <w:szCs w:val="24"/>
        </w:rPr>
        <w:t xml:space="preserve"> </w:t>
      </w:r>
      <w:r w:rsidRPr="003472B9">
        <w:rPr>
          <w:rFonts w:asciiTheme="minorHAnsi" w:hAnsiTheme="minorHAnsi" w:cstheme="minorHAnsi"/>
          <w:color w:val="auto"/>
          <w:szCs w:val="24"/>
        </w:rPr>
        <w:t>advan</w:t>
      </w:r>
      <w:r w:rsidR="00FC2F89">
        <w:rPr>
          <w:rFonts w:asciiTheme="minorHAnsi" w:hAnsiTheme="minorHAnsi" w:cstheme="minorHAnsi"/>
          <w:color w:val="auto"/>
          <w:szCs w:val="24"/>
        </w:rPr>
        <w:t>ce</w:t>
      </w:r>
      <w:r w:rsidRPr="003472B9">
        <w:rPr>
          <w:rFonts w:asciiTheme="minorHAnsi" w:hAnsiTheme="minorHAnsi" w:cstheme="minorHAnsi"/>
          <w:color w:val="auto"/>
          <w:szCs w:val="24"/>
        </w:rPr>
        <w:t xml:space="preserve"> their valued membership </w:t>
      </w:r>
      <w:r w:rsidR="009D229D">
        <w:rPr>
          <w:rFonts w:asciiTheme="minorHAnsi" w:hAnsiTheme="minorHAnsi" w:cstheme="minorHAnsi"/>
          <w:color w:val="auto"/>
          <w:szCs w:val="24"/>
        </w:rPr>
        <w:t xml:space="preserve">in </w:t>
      </w:r>
      <w:r w:rsidRPr="003472B9">
        <w:rPr>
          <w:rFonts w:asciiTheme="minorHAnsi" w:hAnsiTheme="minorHAnsi" w:cstheme="minorHAnsi"/>
          <w:color w:val="auto"/>
          <w:szCs w:val="24"/>
        </w:rPr>
        <w:t>the school community.</w:t>
      </w:r>
    </w:p>
    <w:p w14:paraId="6CF4212C" w14:textId="14697540" w:rsidR="007303B1" w:rsidRPr="001C41D4" w:rsidRDefault="00D35F3F" w:rsidP="00D63717">
      <w:pPr>
        <w:spacing w:after="120" w:line="240" w:lineRule="auto"/>
        <w:ind w:left="0" w:right="0" w:firstLine="0"/>
        <w:rPr>
          <w:rFonts w:asciiTheme="minorHAnsi" w:hAnsiTheme="minorHAnsi" w:cstheme="minorHAnsi"/>
          <w:color w:val="auto"/>
          <w:szCs w:val="24"/>
        </w:rPr>
      </w:pPr>
      <w:r w:rsidRPr="003472B9">
        <w:rPr>
          <w:rFonts w:asciiTheme="minorHAnsi" w:hAnsiTheme="minorHAnsi" w:cstheme="minorHAnsi"/>
          <w:color w:val="auto"/>
          <w:szCs w:val="24"/>
        </w:rPr>
        <w:t>This tool is designed to be a starter for thinking and action</w:t>
      </w:r>
      <w:r>
        <w:rPr>
          <w:rFonts w:asciiTheme="minorHAnsi" w:hAnsiTheme="minorHAnsi" w:cstheme="minorHAnsi"/>
          <w:color w:val="auto"/>
          <w:szCs w:val="24"/>
        </w:rPr>
        <w:t>; i</w:t>
      </w:r>
      <w:r w:rsidRPr="003472B9">
        <w:rPr>
          <w:rFonts w:asciiTheme="minorHAnsi" w:hAnsiTheme="minorHAnsi" w:cstheme="minorHAnsi"/>
          <w:color w:val="auto"/>
          <w:szCs w:val="24"/>
        </w:rPr>
        <w:t>t is not intended as a complete recipe</w:t>
      </w:r>
      <w:r>
        <w:rPr>
          <w:rFonts w:asciiTheme="minorHAnsi" w:hAnsiTheme="minorHAnsi" w:cstheme="minorHAnsi"/>
          <w:color w:val="auto"/>
          <w:szCs w:val="24"/>
        </w:rPr>
        <w:t xml:space="preserve"> for</w:t>
      </w:r>
      <w:r w:rsidRPr="003472B9">
        <w:rPr>
          <w:rFonts w:asciiTheme="minorHAnsi" w:hAnsiTheme="minorHAnsi" w:cstheme="minorHAnsi"/>
          <w:color w:val="auto"/>
          <w:szCs w:val="24"/>
        </w:rPr>
        <w:t xml:space="preserve"> </w:t>
      </w:r>
      <w:r>
        <w:rPr>
          <w:rFonts w:asciiTheme="minorHAnsi" w:hAnsiTheme="minorHAnsi" w:cstheme="minorHAnsi"/>
          <w:color w:val="auto"/>
          <w:szCs w:val="24"/>
        </w:rPr>
        <w:t xml:space="preserve">responding to behaviours of concern and it does not cover </w:t>
      </w:r>
      <w:r w:rsidR="005E67D3">
        <w:rPr>
          <w:rFonts w:asciiTheme="minorHAnsi" w:hAnsiTheme="minorHAnsi" w:cstheme="minorHAnsi"/>
          <w:color w:val="auto"/>
          <w:szCs w:val="24"/>
        </w:rPr>
        <w:t>approaches</w:t>
      </w:r>
      <w:r w:rsidRPr="003472B9">
        <w:rPr>
          <w:rFonts w:asciiTheme="minorHAnsi" w:hAnsiTheme="minorHAnsi" w:cstheme="minorHAnsi"/>
          <w:color w:val="auto"/>
          <w:szCs w:val="24"/>
        </w:rPr>
        <w:t xml:space="preserve"> such as </w:t>
      </w:r>
      <w:r>
        <w:rPr>
          <w:rFonts w:asciiTheme="minorHAnsi" w:hAnsiTheme="minorHAnsi" w:cstheme="minorHAnsi"/>
          <w:color w:val="auto"/>
          <w:szCs w:val="24"/>
        </w:rPr>
        <w:t>A</w:t>
      </w:r>
      <w:r w:rsidRPr="003472B9">
        <w:rPr>
          <w:rFonts w:asciiTheme="minorHAnsi" w:hAnsiTheme="minorHAnsi" w:cstheme="minorHAnsi"/>
          <w:color w:val="auto"/>
          <w:szCs w:val="24"/>
        </w:rPr>
        <w:t xml:space="preserve">pplied </w:t>
      </w:r>
      <w:r>
        <w:rPr>
          <w:rFonts w:asciiTheme="minorHAnsi" w:hAnsiTheme="minorHAnsi" w:cstheme="minorHAnsi"/>
          <w:color w:val="auto"/>
          <w:szCs w:val="24"/>
        </w:rPr>
        <w:t>B</w:t>
      </w:r>
      <w:r w:rsidRPr="003472B9">
        <w:rPr>
          <w:rFonts w:asciiTheme="minorHAnsi" w:hAnsiTheme="minorHAnsi" w:cstheme="minorHAnsi"/>
          <w:color w:val="auto"/>
          <w:szCs w:val="24"/>
        </w:rPr>
        <w:t xml:space="preserve">ehaviour </w:t>
      </w:r>
      <w:r>
        <w:rPr>
          <w:rFonts w:asciiTheme="minorHAnsi" w:hAnsiTheme="minorHAnsi" w:cstheme="minorHAnsi"/>
          <w:color w:val="auto"/>
          <w:szCs w:val="24"/>
        </w:rPr>
        <w:t>A</w:t>
      </w:r>
      <w:r w:rsidRPr="003472B9">
        <w:rPr>
          <w:rFonts w:asciiTheme="minorHAnsi" w:hAnsiTheme="minorHAnsi" w:cstheme="minorHAnsi"/>
          <w:color w:val="auto"/>
          <w:szCs w:val="24"/>
        </w:rPr>
        <w:t xml:space="preserve">nalysis </w:t>
      </w:r>
      <w:r w:rsidR="00986414">
        <w:rPr>
          <w:rFonts w:asciiTheme="minorHAnsi" w:hAnsiTheme="minorHAnsi" w:cstheme="minorHAnsi"/>
          <w:color w:val="auto"/>
          <w:szCs w:val="24"/>
        </w:rPr>
        <w:t xml:space="preserve">(ABA) </w:t>
      </w:r>
      <w:r w:rsidRPr="003472B9">
        <w:rPr>
          <w:rFonts w:asciiTheme="minorHAnsi" w:hAnsiTheme="minorHAnsi" w:cstheme="minorHAnsi"/>
          <w:color w:val="auto"/>
          <w:szCs w:val="24"/>
        </w:rPr>
        <w:t xml:space="preserve">and </w:t>
      </w:r>
      <w:r>
        <w:rPr>
          <w:rFonts w:asciiTheme="minorHAnsi" w:hAnsiTheme="minorHAnsi" w:cstheme="minorHAnsi"/>
          <w:color w:val="auto"/>
          <w:szCs w:val="24"/>
        </w:rPr>
        <w:t>P</w:t>
      </w:r>
      <w:r w:rsidRPr="003472B9">
        <w:rPr>
          <w:rFonts w:asciiTheme="minorHAnsi" w:hAnsiTheme="minorHAnsi" w:cstheme="minorHAnsi"/>
          <w:color w:val="auto"/>
          <w:szCs w:val="24"/>
        </w:rPr>
        <w:t xml:space="preserve">ositive </w:t>
      </w:r>
      <w:r>
        <w:rPr>
          <w:rFonts w:asciiTheme="minorHAnsi" w:hAnsiTheme="minorHAnsi" w:cstheme="minorHAnsi"/>
          <w:color w:val="auto"/>
          <w:szCs w:val="24"/>
        </w:rPr>
        <w:t>B</w:t>
      </w:r>
      <w:r w:rsidRPr="003472B9">
        <w:rPr>
          <w:rFonts w:asciiTheme="minorHAnsi" w:hAnsiTheme="minorHAnsi" w:cstheme="minorHAnsi"/>
          <w:color w:val="auto"/>
          <w:szCs w:val="24"/>
        </w:rPr>
        <w:t xml:space="preserve">ehaviour </w:t>
      </w:r>
      <w:r>
        <w:rPr>
          <w:rFonts w:asciiTheme="minorHAnsi" w:hAnsiTheme="minorHAnsi" w:cstheme="minorHAnsi"/>
          <w:color w:val="auto"/>
          <w:szCs w:val="24"/>
        </w:rPr>
        <w:t>S</w:t>
      </w:r>
      <w:r w:rsidRPr="003472B9">
        <w:rPr>
          <w:rFonts w:asciiTheme="minorHAnsi" w:hAnsiTheme="minorHAnsi" w:cstheme="minorHAnsi"/>
          <w:color w:val="auto"/>
          <w:szCs w:val="24"/>
        </w:rPr>
        <w:t>upport</w:t>
      </w:r>
      <w:r w:rsidR="00986414">
        <w:rPr>
          <w:rFonts w:asciiTheme="minorHAnsi" w:hAnsiTheme="minorHAnsi" w:cstheme="minorHAnsi"/>
          <w:color w:val="auto"/>
          <w:szCs w:val="24"/>
        </w:rPr>
        <w:t xml:space="preserve"> (PBS)</w:t>
      </w:r>
      <w:r w:rsidRPr="003472B9">
        <w:rPr>
          <w:rFonts w:asciiTheme="minorHAnsi" w:hAnsiTheme="minorHAnsi" w:cstheme="minorHAnsi"/>
          <w:color w:val="auto"/>
          <w:szCs w:val="24"/>
        </w:rPr>
        <w:t xml:space="preserve">.  </w:t>
      </w:r>
      <w:r w:rsidR="003472B9" w:rsidRPr="003472B9">
        <w:rPr>
          <w:rFonts w:asciiTheme="minorHAnsi" w:hAnsiTheme="minorHAnsi" w:cstheme="minorHAnsi"/>
          <w:color w:val="auto"/>
          <w:szCs w:val="24"/>
        </w:rPr>
        <w:t xml:space="preserve">This tool is designed to assist </w:t>
      </w:r>
      <w:r w:rsidR="00982A89" w:rsidRPr="00982A89">
        <w:rPr>
          <w:rFonts w:asciiTheme="minorHAnsi" w:hAnsiTheme="minorHAnsi" w:cstheme="minorHAnsi"/>
          <w:color w:val="auto"/>
          <w:szCs w:val="24"/>
        </w:rPr>
        <w:t>school staff (</w:t>
      </w:r>
      <w:r w:rsidR="00FC2F89">
        <w:rPr>
          <w:rFonts w:asciiTheme="minorHAnsi" w:hAnsiTheme="minorHAnsi" w:cstheme="minorHAnsi"/>
          <w:color w:val="auto"/>
          <w:szCs w:val="24"/>
        </w:rPr>
        <w:t>primarily</w:t>
      </w:r>
      <w:r w:rsidR="00982A89" w:rsidRPr="00982A89">
        <w:rPr>
          <w:rFonts w:asciiTheme="minorHAnsi" w:hAnsiTheme="minorHAnsi" w:cstheme="minorHAnsi"/>
          <w:color w:val="auto"/>
          <w:szCs w:val="24"/>
        </w:rPr>
        <w:t xml:space="preserve"> educator</w:t>
      </w:r>
      <w:r w:rsidR="00FC2F89">
        <w:rPr>
          <w:rFonts w:asciiTheme="minorHAnsi" w:hAnsiTheme="minorHAnsi" w:cstheme="minorHAnsi"/>
          <w:color w:val="auto"/>
          <w:szCs w:val="24"/>
        </w:rPr>
        <w:t>s</w:t>
      </w:r>
      <w:r w:rsidR="00982A89" w:rsidRPr="00982A89">
        <w:rPr>
          <w:rFonts w:asciiTheme="minorHAnsi" w:hAnsiTheme="minorHAnsi" w:cstheme="minorHAnsi"/>
          <w:color w:val="auto"/>
          <w:szCs w:val="24"/>
        </w:rPr>
        <w:t xml:space="preserve">) </w:t>
      </w:r>
      <w:r w:rsidR="003472B9" w:rsidRPr="003472B9">
        <w:rPr>
          <w:rFonts w:asciiTheme="minorHAnsi" w:hAnsiTheme="minorHAnsi" w:cstheme="minorHAnsi"/>
          <w:color w:val="auto"/>
          <w:szCs w:val="24"/>
        </w:rPr>
        <w:t>to reflect on their approach to supporting students</w:t>
      </w:r>
      <w:r w:rsidR="00210EA3">
        <w:rPr>
          <w:rFonts w:asciiTheme="minorHAnsi" w:hAnsiTheme="minorHAnsi" w:cstheme="minorHAnsi"/>
          <w:color w:val="auto"/>
          <w:szCs w:val="24"/>
        </w:rPr>
        <w:t xml:space="preserve"> </w:t>
      </w:r>
      <w:r w:rsidR="00FC2F89">
        <w:rPr>
          <w:rFonts w:asciiTheme="minorHAnsi" w:hAnsiTheme="minorHAnsi" w:cstheme="minorHAnsi"/>
          <w:color w:val="auto"/>
          <w:szCs w:val="24"/>
        </w:rPr>
        <w:t xml:space="preserve">of diverse ability, where </w:t>
      </w:r>
      <w:r w:rsidR="003404B0">
        <w:rPr>
          <w:rFonts w:asciiTheme="minorHAnsi" w:hAnsiTheme="minorHAnsi" w:cstheme="minorHAnsi"/>
          <w:color w:val="auto"/>
          <w:szCs w:val="24"/>
        </w:rPr>
        <w:t>aspects of a student’s behavior caus</w:t>
      </w:r>
      <w:r w:rsidR="00D63717">
        <w:rPr>
          <w:rFonts w:asciiTheme="minorHAnsi" w:hAnsiTheme="minorHAnsi" w:cstheme="minorHAnsi"/>
          <w:color w:val="auto"/>
          <w:szCs w:val="24"/>
        </w:rPr>
        <w:t>e</w:t>
      </w:r>
      <w:r w:rsidR="003404B0">
        <w:rPr>
          <w:rFonts w:asciiTheme="minorHAnsi" w:hAnsiTheme="minorHAnsi" w:cstheme="minorHAnsi"/>
          <w:color w:val="auto"/>
          <w:szCs w:val="24"/>
        </w:rPr>
        <w:t xml:space="preserve"> concern. </w:t>
      </w:r>
      <w:r w:rsidR="00EF08B9">
        <w:rPr>
          <w:rFonts w:asciiTheme="minorHAnsi" w:hAnsiTheme="minorHAnsi" w:cstheme="minorHAnsi"/>
          <w:color w:val="auto"/>
          <w:szCs w:val="24"/>
        </w:rPr>
        <w:t xml:space="preserve"> </w:t>
      </w:r>
    </w:p>
    <w:p w14:paraId="45C8D8EA" w14:textId="04D7FC3B" w:rsidR="00267E9E" w:rsidRPr="00827D90" w:rsidRDefault="007A2C9C" w:rsidP="00D63717">
      <w:pPr>
        <w:spacing w:after="120" w:line="240" w:lineRule="auto"/>
        <w:ind w:left="0" w:right="0" w:firstLine="0"/>
        <w:rPr>
          <w:rFonts w:asciiTheme="minorHAnsi" w:hAnsiTheme="minorHAnsi" w:cstheme="minorHAnsi"/>
          <w:szCs w:val="24"/>
        </w:rPr>
      </w:pPr>
      <w:r w:rsidRPr="00827D90">
        <w:rPr>
          <w:rFonts w:asciiTheme="minorHAnsi" w:hAnsiTheme="minorHAnsi" w:cstheme="minorHAnsi"/>
          <w:szCs w:val="24"/>
        </w:rPr>
        <w:t xml:space="preserve">   </w:t>
      </w:r>
    </w:p>
    <w:p w14:paraId="4C300C1C" w14:textId="3F896EF1" w:rsidR="007A2C9C" w:rsidRDefault="007A2C9C" w:rsidP="00D63717">
      <w:pPr>
        <w:pStyle w:val="Heading2"/>
        <w:spacing w:before="0" w:after="120" w:line="240" w:lineRule="auto"/>
        <w:ind w:left="0"/>
      </w:pPr>
      <w:bookmarkStart w:id="2" w:name="_Hlk28010505"/>
      <w:r w:rsidRPr="007A2C9C">
        <w:t xml:space="preserve">Ideas </w:t>
      </w:r>
    </w:p>
    <w:p w14:paraId="10598FFC" w14:textId="2F85E944" w:rsidR="00275B4A" w:rsidRDefault="009D229D" w:rsidP="00275B4A">
      <w:pPr>
        <w:pStyle w:val="BodyText1"/>
      </w:pPr>
      <w:r>
        <w:t>S</w:t>
      </w:r>
      <w:r w:rsidR="00275B4A">
        <w:t xml:space="preserve">taff </w:t>
      </w:r>
      <w:r>
        <w:t xml:space="preserve">who engage with students (leaders, educators, teacher aides, therapists) at </w:t>
      </w:r>
      <w:r w:rsidR="00275B4A">
        <w:t>schools</w:t>
      </w:r>
      <w:r>
        <w:t xml:space="preserve"> </w:t>
      </w:r>
      <w:r w:rsidR="00275B4A">
        <w:t xml:space="preserve">striving to be inclusive communities </w:t>
      </w:r>
      <w:r w:rsidR="00C358A8">
        <w:t xml:space="preserve">need to </w:t>
      </w:r>
      <w:r w:rsidR="00275B4A">
        <w:t xml:space="preserve">understand the </w:t>
      </w:r>
      <w:r w:rsidR="00C358A8">
        <w:t xml:space="preserve">following </w:t>
      </w:r>
      <w:r w:rsidR="00275B4A">
        <w:t>concepts</w:t>
      </w:r>
      <w:r>
        <w:t xml:space="preserve">: </w:t>
      </w:r>
      <w:r w:rsidR="00275B4A">
        <w:t>behaviours of concern, safety measures, and safeguarding measures</w:t>
      </w:r>
      <w:r>
        <w:t xml:space="preserve">. </w:t>
      </w:r>
      <w:r w:rsidR="00C358A8">
        <w:t xml:space="preserve">This sets the foundation for understanding </w:t>
      </w:r>
      <w:r w:rsidR="00B23BC9">
        <w:t>how such concepts are</w:t>
      </w:r>
      <w:r w:rsidR="00C358A8">
        <w:t xml:space="preserve"> relevant</w:t>
      </w:r>
      <w:r w:rsidR="00B23BC9">
        <w:t xml:space="preserve"> to </w:t>
      </w:r>
      <w:r w:rsidRPr="009D229D">
        <w:t>provi</w:t>
      </w:r>
      <w:r w:rsidR="00C358A8">
        <w:t>ding</w:t>
      </w:r>
      <w:r w:rsidRPr="009D229D">
        <w:t xml:space="preserve"> supports to student</w:t>
      </w:r>
      <w:r>
        <w:t>s</w:t>
      </w:r>
      <w:r w:rsidRPr="009D229D">
        <w:t xml:space="preserve"> to safeguard their continued participation and valued membership </w:t>
      </w:r>
      <w:r w:rsidR="00C358A8">
        <w:t xml:space="preserve">in </w:t>
      </w:r>
      <w:r w:rsidRPr="009D229D">
        <w:t xml:space="preserve">the school community. </w:t>
      </w:r>
      <w:r>
        <w:t xml:space="preserve"> </w:t>
      </w:r>
      <w:r w:rsidR="00B23BC9">
        <w:t xml:space="preserve"> </w:t>
      </w:r>
    </w:p>
    <w:p w14:paraId="2ED2CB8A" w14:textId="11735391" w:rsidR="00664E37" w:rsidRPr="00664E37" w:rsidRDefault="00664E37" w:rsidP="00D63717">
      <w:pPr>
        <w:pStyle w:val="Headingitalics"/>
        <w:spacing w:after="120" w:line="240" w:lineRule="auto"/>
      </w:pPr>
      <w:r w:rsidRPr="00664E37">
        <w:lastRenderedPageBreak/>
        <w:t xml:space="preserve">Behaviours of </w:t>
      </w:r>
      <w:r w:rsidR="00F44CA9">
        <w:t>C</w:t>
      </w:r>
      <w:r w:rsidRPr="00664E37">
        <w:t>oncern</w:t>
      </w:r>
    </w:p>
    <w:p w14:paraId="24C4A812" w14:textId="0055B290" w:rsidR="00147DB4" w:rsidRPr="00664E37" w:rsidRDefault="00B23BC9" w:rsidP="00D63717">
      <w:pPr>
        <w:spacing w:after="120" w:line="240" w:lineRule="auto"/>
        <w:ind w:left="3" w:right="0" w:firstLine="0"/>
        <w:rPr>
          <w:rFonts w:ascii="Calibri" w:eastAsia="Calibri" w:hAnsi="Calibri" w:cs="Calibri"/>
          <w:color w:val="auto"/>
          <w:szCs w:val="24"/>
          <w:lang w:val="en-AU"/>
        </w:rPr>
      </w:pPr>
      <w:r>
        <w:rPr>
          <w:rFonts w:ascii="Calibri" w:eastAsia="Calibri" w:hAnsi="Calibri" w:cs="Calibri"/>
          <w:color w:val="auto"/>
          <w:szCs w:val="24"/>
          <w:lang w:val="en-AU"/>
        </w:rPr>
        <w:t>Behaviours of concern, previously called ‘challenging behaviour’, are when a person does something that harms or endangers themselves or other people</w:t>
      </w:r>
      <w:r w:rsidR="00C358A8">
        <w:rPr>
          <w:rFonts w:ascii="Calibri" w:eastAsia="Calibri" w:hAnsi="Calibri" w:cs="Calibri"/>
          <w:color w:val="auto"/>
          <w:szCs w:val="24"/>
          <w:lang w:val="en-AU"/>
        </w:rPr>
        <w:t xml:space="preserve"> or property</w:t>
      </w:r>
      <w:r>
        <w:rPr>
          <w:rFonts w:ascii="Calibri" w:eastAsia="Calibri" w:hAnsi="Calibri" w:cs="Calibri"/>
          <w:color w:val="auto"/>
          <w:szCs w:val="24"/>
          <w:lang w:val="en-AU"/>
        </w:rPr>
        <w:t xml:space="preserve">. </w:t>
      </w:r>
      <w:r w:rsidR="00A6446E">
        <w:rPr>
          <w:rFonts w:ascii="Calibri" w:eastAsia="Calibri" w:hAnsi="Calibri" w:cs="Calibri"/>
          <w:color w:val="auto"/>
          <w:szCs w:val="24"/>
          <w:lang w:val="en-AU"/>
        </w:rPr>
        <w:t xml:space="preserve">This term is often used with reference to people living with disability, especially </w:t>
      </w:r>
      <w:r w:rsidR="00C358A8">
        <w:rPr>
          <w:rFonts w:ascii="Calibri" w:eastAsia="Calibri" w:hAnsi="Calibri" w:cs="Calibri"/>
          <w:color w:val="auto"/>
          <w:szCs w:val="24"/>
          <w:lang w:val="en-AU"/>
        </w:rPr>
        <w:t>students</w:t>
      </w:r>
      <w:r w:rsidR="00A6446E">
        <w:rPr>
          <w:rFonts w:ascii="Calibri" w:eastAsia="Calibri" w:hAnsi="Calibri" w:cs="Calibri"/>
          <w:color w:val="auto"/>
          <w:szCs w:val="24"/>
          <w:lang w:val="en-AU"/>
        </w:rPr>
        <w:t xml:space="preserve"> living with disability. </w:t>
      </w:r>
      <w:r w:rsidR="00A6446E" w:rsidRPr="00B23BC9">
        <w:rPr>
          <w:rFonts w:ascii="Calibri" w:eastAsia="Calibri" w:hAnsi="Calibri" w:cs="Calibri"/>
          <w:color w:val="auto"/>
          <w:szCs w:val="24"/>
          <w:lang w:val="en-AU"/>
        </w:rPr>
        <w:t xml:space="preserve">Behaviours are only considered ‘of concern’ when they cause a problem to the </w:t>
      </w:r>
      <w:r w:rsidR="00EB01EB">
        <w:rPr>
          <w:rFonts w:ascii="Calibri" w:eastAsia="Calibri" w:hAnsi="Calibri" w:cs="Calibri"/>
          <w:color w:val="auto"/>
          <w:szCs w:val="24"/>
          <w:lang w:val="en-AU"/>
        </w:rPr>
        <w:t>person</w:t>
      </w:r>
      <w:r w:rsidR="00A6446E" w:rsidRPr="00B23BC9">
        <w:rPr>
          <w:rFonts w:ascii="Calibri" w:eastAsia="Calibri" w:hAnsi="Calibri" w:cs="Calibri"/>
          <w:color w:val="auto"/>
          <w:szCs w:val="24"/>
          <w:lang w:val="en-AU"/>
        </w:rPr>
        <w:t xml:space="preserve"> or those around them</w:t>
      </w:r>
      <w:r w:rsidR="00EB01EB">
        <w:rPr>
          <w:rFonts w:ascii="Calibri" w:eastAsia="Calibri" w:hAnsi="Calibri" w:cs="Calibri"/>
          <w:color w:val="auto"/>
          <w:szCs w:val="24"/>
          <w:lang w:val="en-AU"/>
        </w:rPr>
        <w:t>; keep in mind though that the behaviour is the problem, not the person.</w:t>
      </w:r>
      <w:r w:rsidR="00A6446E">
        <w:rPr>
          <w:rStyle w:val="FootnoteReference"/>
          <w:rFonts w:ascii="Calibri" w:eastAsia="Calibri" w:hAnsi="Calibri" w:cs="Calibri"/>
          <w:color w:val="auto"/>
          <w:szCs w:val="24"/>
          <w:lang w:val="en-AU"/>
        </w:rPr>
        <w:footnoteReference w:id="2"/>
      </w:r>
      <w:r w:rsidR="00A6446E">
        <w:rPr>
          <w:rFonts w:ascii="Calibri" w:eastAsia="Calibri" w:hAnsi="Calibri" w:cs="Calibri"/>
          <w:color w:val="auto"/>
          <w:szCs w:val="24"/>
          <w:lang w:val="en-AU"/>
        </w:rPr>
        <w:t xml:space="preserve"> </w:t>
      </w:r>
      <w:r w:rsidR="00664E37">
        <w:rPr>
          <w:rFonts w:ascii="Calibri" w:eastAsia="Calibri" w:hAnsi="Calibri" w:cs="Calibri"/>
          <w:color w:val="auto"/>
          <w:szCs w:val="24"/>
          <w:lang w:val="en-AU"/>
        </w:rPr>
        <w:t>E</w:t>
      </w:r>
      <w:r w:rsidR="00147DB4" w:rsidRPr="00664E37">
        <w:rPr>
          <w:rFonts w:ascii="Calibri" w:eastAsia="Calibri" w:hAnsi="Calibri" w:cs="Calibri"/>
          <w:color w:val="auto"/>
          <w:szCs w:val="24"/>
          <w:lang w:val="en-AU"/>
        </w:rPr>
        <w:t>xamples</w:t>
      </w:r>
      <w:r w:rsidR="00664E37">
        <w:rPr>
          <w:rFonts w:ascii="Calibri" w:eastAsia="Calibri" w:hAnsi="Calibri" w:cs="Calibri"/>
          <w:color w:val="auto"/>
          <w:szCs w:val="24"/>
          <w:lang w:val="en-AU"/>
        </w:rPr>
        <w:t xml:space="preserve"> </w:t>
      </w:r>
      <w:r w:rsidR="003404B0">
        <w:rPr>
          <w:rFonts w:ascii="Calibri" w:eastAsia="Calibri" w:hAnsi="Calibri" w:cs="Calibri"/>
          <w:color w:val="auto"/>
          <w:szCs w:val="24"/>
          <w:lang w:val="en-AU"/>
        </w:rPr>
        <w:t xml:space="preserve">of behaviours of concern </w:t>
      </w:r>
      <w:r>
        <w:rPr>
          <w:rFonts w:ascii="Calibri" w:eastAsia="Calibri" w:hAnsi="Calibri" w:cs="Calibri"/>
          <w:color w:val="auto"/>
          <w:szCs w:val="24"/>
          <w:lang w:val="en-AU"/>
        </w:rPr>
        <w:t>in schools</w:t>
      </w:r>
      <w:r w:rsidR="00147DB4" w:rsidRPr="00664E37">
        <w:rPr>
          <w:rFonts w:ascii="Calibri" w:eastAsia="Calibri" w:hAnsi="Calibri" w:cs="Calibri"/>
          <w:color w:val="auto"/>
          <w:szCs w:val="24"/>
          <w:lang w:val="en-AU"/>
        </w:rPr>
        <w:t xml:space="preserve"> can include but are not limited to:</w:t>
      </w:r>
    </w:p>
    <w:p w14:paraId="277075F6" w14:textId="5C5F8B75" w:rsidR="00147DB4" w:rsidRPr="00664E37" w:rsidRDefault="00147DB4" w:rsidP="00D63717">
      <w:pPr>
        <w:pStyle w:val="ListParagraph"/>
        <w:numPr>
          <w:ilvl w:val="0"/>
          <w:numId w:val="16"/>
        </w:numPr>
        <w:spacing w:after="120" w:line="240" w:lineRule="auto"/>
        <w:ind w:left="1440" w:right="0"/>
        <w:rPr>
          <w:rFonts w:ascii="Calibri" w:eastAsia="Calibri" w:hAnsi="Calibri" w:cs="Calibri"/>
          <w:color w:val="auto"/>
          <w:szCs w:val="24"/>
          <w:lang w:val="en-AU"/>
        </w:rPr>
      </w:pPr>
      <w:r w:rsidRPr="00664E37">
        <w:rPr>
          <w:rFonts w:ascii="Calibri" w:eastAsia="Calibri" w:hAnsi="Calibri" w:cs="Calibri"/>
          <w:color w:val="auto"/>
          <w:szCs w:val="24"/>
          <w:lang w:val="en-AU"/>
        </w:rPr>
        <w:t>self-injuring behaviour, such as hitting/kicking walls, head-banging</w:t>
      </w:r>
    </w:p>
    <w:p w14:paraId="206A136B" w14:textId="77777777" w:rsidR="00147DB4" w:rsidRPr="00664E37" w:rsidRDefault="00147DB4" w:rsidP="00D63717">
      <w:pPr>
        <w:pStyle w:val="ListParagraph"/>
        <w:numPr>
          <w:ilvl w:val="0"/>
          <w:numId w:val="16"/>
        </w:numPr>
        <w:spacing w:after="120" w:line="240" w:lineRule="auto"/>
        <w:ind w:left="1440" w:right="0"/>
        <w:rPr>
          <w:rFonts w:ascii="Calibri" w:eastAsia="Calibri" w:hAnsi="Calibri" w:cs="Calibri"/>
          <w:color w:val="auto"/>
          <w:szCs w:val="24"/>
          <w:lang w:val="en-AU"/>
        </w:rPr>
      </w:pPr>
      <w:r w:rsidRPr="00664E37">
        <w:rPr>
          <w:rFonts w:ascii="Calibri" w:eastAsia="Calibri" w:hAnsi="Calibri" w:cs="Calibri"/>
          <w:color w:val="auto"/>
          <w:szCs w:val="24"/>
          <w:lang w:val="en-AU"/>
        </w:rPr>
        <w:t>aggression towards other students or staff, including hitting, biting, kicking, hair pulling</w:t>
      </w:r>
    </w:p>
    <w:p w14:paraId="2077BA6D" w14:textId="77777777" w:rsidR="00147DB4" w:rsidRPr="00664E37" w:rsidRDefault="00147DB4" w:rsidP="00D63717">
      <w:pPr>
        <w:pStyle w:val="ListParagraph"/>
        <w:numPr>
          <w:ilvl w:val="0"/>
          <w:numId w:val="16"/>
        </w:numPr>
        <w:spacing w:after="120" w:line="240" w:lineRule="auto"/>
        <w:ind w:left="1440" w:right="0"/>
        <w:rPr>
          <w:rFonts w:ascii="Calibri" w:eastAsia="Calibri" w:hAnsi="Calibri" w:cs="Calibri"/>
          <w:color w:val="auto"/>
          <w:szCs w:val="24"/>
          <w:lang w:val="en-AU"/>
        </w:rPr>
      </w:pPr>
      <w:r w:rsidRPr="00664E37">
        <w:rPr>
          <w:rFonts w:ascii="Calibri" w:eastAsia="Calibri" w:hAnsi="Calibri" w:cs="Calibri"/>
          <w:color w:val="auto"/>
          <w:szCs w:val="24"/>
          <w:lang w:val="en-AU"/>
        </w:rPr>
        <w:t>throwing furniture or other objects at students or staff</w:t>
      </w:r>
    </w:p>
    <w:p w14:paraId="2C37B72C" w14:textId="77777777" w:rsidR="00147DB4" w:rsidRPr="00664E37" w:rsidRDefault="00147DB4" w:rsidP="00D63717">
      <w:pPr>
        <w:pStyle w:val="ListParagraph"/>
        <w:numPr>
          <w:ilvl w:val="0"/>
          <w:numId w:val="16"/>
        </w:numPr>
        <w:spacing w:after="120" w:line="240" w:lineRule="auto"/>
        <w:ind w:left="1440" w:right="0"/>
        <w:rPr>
          <w:rFonts w:ascii="Calibri" w:eastAsia="Calibri" w:hAnsi="Calibri" w:cs="Calibri"/>
          <w:color w:val="auto"/>
          <w:szCs w:val="24"/>
          <w:lang w:val="en-AU"/>
        </w:rPr>
      </w:pPr>
      <w:r w:rsidRPr="00664E37">
        <w:rPr>
          <w:rFonts w:ascii="Calibri" w:eastAsia="Calibri" w:hAnsi="Calibri" w:cs="Calibri"/>
          <w:color w:val="auto"/>
          <w:szCs w:val="24"/>
          <w:lang w:val="en-AU"/>
        </w:rPr>
        <w:t>a verbal threat of harm which you reasonably believe a student will immediately enact</w:t>
      </w:r>
    </w:p>
    <w:p w14:paraId="029A0996" w14:textId="56348D97" w:rsidR="00147DB4" w:rsidRDefault="00147DB4" w:rsidP="00D63717">
      <w:pPr>
        <w:pStyle w:val="ListParagraph"/>
        <w:numPr>
          <w:ilvl w:val="0"/>
          <w:numId w:val="16"/>
        </w:numPr>
        <w:spacing w:after="120" w:line="240" w:lineRule="auto"/>
        <w:ind w:left="1440" w:right="0"/>
        <w:rPr>
          <w:rFonts w:ascii="Calibri" w:eastAsia="Calibri" w:hAnsi="Calibri" w:cs="Calibri"/>
          <w:color w:val="auto"/>
          <w:szCs w:val="24"/>
          <w:lang w:val="en-AU"/>
        </w:rPr>
      </w:pPr>
      <w:r w:rsidRPr="00664E37">
        <w:rPr>
          <w:rFonts w:ascii="Calibri" w:eastAsia="Calibri" w:hAnsi="Calibri" w:cs="Calibri"/>
          <w:color w:val="auto"/>
          <w:szCs w:val="24"/>
          <w:lang w:val="en-AU"/>
        </w:rPr>
        <w:t>running onto a road or near some other hazard.</w:t>
      </w:r>
      <w:r w:rsidR="00664E37" w:rsidRPr="00664E37">
        <w:rPr>
          <w:rStyle w:val="FootnoteReference"/>
          <w:rFonts w:ascii="Calibri" w:eastAsia="Calibri" w:hAnsi="Calibri" w:cs="Calibri"/>
          <w:color w:val="auto"/>
          <w:szCs w:val="24"/>
          <w:lang w:val="en-AU"/>
        </w:rPr>
        <w:footnoteReference w:id="3"/>
      </w:r>
      <w:r w:rsidRPr="00664E37">
        <w:rPr>
          <w:rFonts w:ascii="Calibri" w:eastAsia="Calibri" w:hAnsi="Calibri" w:cs="Calibri"/>
          <w:color w:val="auto"/>
          <w:szCs w:val="24"/>
          <w:lang w:val="en-AU"/>
        </w:rPr>
        <w:t xml:space="preserve"> </w:t>
      </w:r>
    </w:p>
    <w:p w14:paraId="3A435A7B" w14:textId="174351C9" w:rsidR="00664E37" w:rsidRPr="00664E37" w:rsidRDefault="00664E37" w:rsidP="00D63717">
      <w:pPr>
        <w:pStyle w:val="Headingitalics"/>
        <w:spacing w:after="120" w:line="240" w:lineRule="auto"/>
      </w:pPr>
      <w:r w:rsidRPr="00664E37">
        <w:t>Managing Risk</w:t>
      </w:r>
    </w:p>
    <w:p w14:paraId="395E7C1A" w14:textId="77777777" w:rsidR="00EB01EB"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When a person has circumstances that present risks, those around the person will be inclined to act in ways that can manage</w:t>
      </w:r>
      <w:r w:rsidR="00DB50F7">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that risk</w:t>
      </w:r>
      <w:r w:rsidR="00F44CA9">
        <w:rPr>
          <w:rFonts w:ascii="Calibri" w:eastAsia="Calibri" w:hAnsi="Calibri" w:cs="Calibri"/>
          <w:color w:val="auto"/>
          <w:szCs w:val="24"/>
          <w:lang w:val="en-AU"/>
        </w:rPr>
        <w:t>,</w:t>
      </w:r>
      <w:r w:rsidRPr="003472B9">
        <w:rPr>
          <w:rFonts w:ascii="Calibri" w:eastAsia="Calibri" w:hAnsi="Calibri" w:cs="Calibri"/>
          <w:color w:val="auto"/>
          <w:szCs w:val="24"/>
          <w:lang w:val="en-AU"/>
        </w:rPr>
        <w:t xml:space="preserve"> </w:t>
      </w:r>
      <w:r w:rsidR="00F44CA9">
        <w:rPr>
          <w:rFonts w:ascii="Calibri" w:eastAsia="Calibri" w:hAnsi="Calibri" w:cs="Calibri"/>
          <w:color w:val="auto"/>
          <w:szCs w:val="24"/>
          <w:lang w:val="en-AU"/>
        </w:rPr>
        <w:t>including</w:t>
      </w:r>
      <w:r w:rsidRPr="003472B9">
        <w:rPr>
          <w:rFonts w:ascii="Calibri" w:eastAsia="Calibri" w:hAnsi="Calibri" w:cs="Calibri"/>
          <w:color w:val="auto"/>
          <w:szCs w:val="24"/>
          <w:lang w:val="en-AU"/>
        </w:rPr>
        <w:t xml:space="preserve"> finding ways to reduce </w:t>
      </w:r>
      <w:r w:rsidR="00F44CA9">
        <w:rPr>
          <w:rFonts w:ascii="Calibri" w:eastAsia="Calibri" w:hAnsi="Calibri" w:cs="Calibri"/>
          <w:color w:val="auto"/>
          <w:szCs w:val="24"/>
          <w:lang w:val="en-AU"/>
        </w:rPr>
        <w:t xml:space="preserve">that </w:t>
      </w:r>
      <w:r w:rsidRPr="003472B9">
        <w:rPr>
          <w:rFonts w:ascii="Calibri" w:eastAsia="Calibri" w:hAnsi="Calibri" w:cs="Calibri"/>
          <w:color w:val="auto"/>
          <w:szCs w:val="24"/>
          <w:lang w:val="en-AU"/>
        </w:rPr>
        <w:t xml:space="preserve">risk.  </w:t>
      </w:r>
    </w:p>
    <w:p w14:paraId="793BC948" w14:textId="77777777" w:rsidR="00E96D1C" w:rsidRDefault="00EB01EB"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Take the example of</w:t>
      </w:r>
      <w:r w:rsidR="00DB50F7">
        <w:rPr>
          <w:rFonts w:ascii="Calibri" w:eastAsia="Calibri" w:hAnsi="Calibri" w:cs="Calibri"/>
          <w:color w:val="auto"/>
          <w:szCs w:val="24"/>
          <w:lang w:val="en-AU"/>
        </w:rPr>
        <w:t xml:space="preserve"> a </w:t>
      </w:r>
      <w:r w:rsidR="003472B9" w:rsidRPr="003472B9">
        <w:rPr>
          <w:rFonts w:ascii="Calibri" w:eastAsia="Calibri" w:hAnsi="Calibri" w:cs="Calibri"/>
          <w:color w:val="auto"/>
          <w:szCs w:val="24"/>
          <w:lang w:val="en-AU"/>
        </w:rPr>
        <w:t>toddler discovering the world</w:t>
      </w:r>
      <w:r>
        <w:rPr>
          <w:rFonts w:ascii="Calibri" w:eastAsia="Calibri" w:hAnsi="Calibri" w:cs="Calibri"/>
          <w:color w:val="auto"/>
          <w:szCs w:val="24"/>
          <w:lang w:val="en-AU"/>
        </w:rPr>
        <w:t xml:space="preserve"> </w:t>
      </w:r>
      <w:r w:rsidR="00E96D1C">
        <w:rPr>
          <w:rFonts w:ascii="Calibri" w:eastAsia="Calibri" w:hAnsi="Calibri" w:cs="Calibri"/>
          <w:color w:val="auto"/>
          <w:szCs w:val="24"/>
          <w:lang w:val="en-AU"/>
        </w:rPr>
        <w:t xml:space="preserve">and </w:t>
      </w:r>
      <w:r w:rsidR="003472B9" w:rsidRPr="003472B9">
        <w:rPr>
          <w:rFonts w:ascii="Calibri" w:eastAsia="Calibri" w:hAnsi="Calibri" w:cs="Calibri"/>
          <w:color w:val="auto"/>
          <w:szCs w:val="24"/>
          <w:lang w:val="en-AU"/>
        </w:rPr>
        <w:t>at risk of placing their wet fingers in a power point, their caregiver might take steps to restrict access to those power points</w:t>
      </w:r>
      <w:r w:rsidR="00E96D1C">
        <w:rPr>
          <w:rFonts w:ascii="Calibri" w:eastAsia="Calibri" w:hAnsi="Calibri" w:cs="Calibri"/>
          <w:color w:val="auto"/>
          <w:szCs w:val="24"/>
          <w:lang w:val="en-AU"/>
        </w:rPr>
        <w:t xml:space="preserve"> by way of</w:t>
      </w:r>
      <w:r w:rsidR="00DB50F7">
        <w:rPr>
          <w:rFonts w:ascii="Calibri" w:eastAsia="Calibri" w:hAnsi="Calibri" w:cs="Calibri"/>
          <w:color w:val="auto"/>
          <w:szCs w:val="24"/>
          <w:lang w:val="en-AU"/>
        </w:rPr>
        <w:t xml:space="preserve"> </w:t>
      </w:r>
      <w:r w:rsidR="003472B9" w:rsidRPr="003472B9">
        <w:rPr>
          <w:rFonts w:ascii="Calibri" w:eastAsia="Calibri" w:hAnsi="Calibri" w:cs="Calibri"/>
          <w:color w:val="auto"/>
          <w:szCs w:val="24"/>
          <w:lang w:val="en-AU"/>
        </w:rPr>
        <w:t xml:space="preserve">blocking access to </w:t>
      </w:r>
      <w:r w:rsidR="003404B0">
        <w:rPr>
          <w:rFonts w:ascii="Calibri" w:eastAsia="Calibri" w:hAnsi="Calibri" w:cs="Calibri"/>
          <w:color w:val="auto"/>
          <w:szCs w:val="24"/>
          <w:lang w:val="en-AU"/>
        </w:rPr>
        <w:t xml:space="preserve">rooms </w:t>
      </w:r>
      <w:r w:rsidR="003472B9" w:rsidRPr="003472B9">
        <w:rPr>
          <w:rFonts w:ascii="Calibri" w:eastAsia="Calibri" w:hAnsi="Calibri" w:cs="Calibri"/>
          <w:color w:val="auto"/>
          <w:szCs w:val="24"/>
          <w:lang w:val="en-AU"/>
        </w:rPr>
        <w:t>where power points are</w:t>
      </w:r>
      <w:r w:rsidR="00DB50F7">
        <w:rPr>
          <w:rFonts w:ascii="Calibri" w:eastAsia="Calibri" w:hAnsi="Calibri" w:cs="Calibri"/>
          <w:color w:val="auto"/>
          <w:szCs w:val="24"/>
          <w:lang w:val="en-AU"/>
        </w:rPr>
        <w:t xml:space="preserve"> located</w:t>
      </w:r>
      <w:r w:rsidR="003472B9" w:rsidRPr="003472B9">
        <w:rPr>
          <w:rFonts w:ascii="Calibri" w:eastAsia="Calibri" w:hAnsi="Calibri" w:cs="Calibri"/>
          <w:color w:val="auto"/>
          <w:szCs w:val="24"/>
          <w:lang w:val="en-AU"/>
        </w:rPr>
        <w:t>.</w:t>
      </w:r>
      <w:r w:rsidR="00DB50F7">
        <w:rPr>
          <w:rFonts w:ascii="Calibri" w:eastAsia="Calibri" w:hAnsi="Calibri" w:cs="Calibri"/>
          <w:color w:val="auto"/>
          <w:szCs w:val="24"/>
          <w:lang w:val="en-AU"/>
        </w:rPr>
        <w:t xml:space="preserve"> </w:t>
      </w:r>
      <w:r w:rsidR="003472B9" w:rsidRPr="003472B9">
        <w:rPr>
          <w:rFonts w:ascii="Calibri" w:eastAsia="Calibri" w:hAnsi="Calibri" w:cs="Calibri"/>
          <w:color w:val="auto"/>
          <w:szCs w:val="24"/>
          <w:lang w:val="en-AU"/>
        </w:rPr>
        <w:t xml:space="preserve">This is a </w:t>
      </w:r>
      <w:r w:rsidR="00664E37">
        <w:rPr>
          <w:rFonts w:ascii="Calibri" w:eastAsia="Calibri" w:hAnsi="Calibri" w:cs="Calibri"/>
          <w:color w:val="auto"/>
          <w:szCs w:val="24"/>
          <w:lang w:val="en-AU"/>
        </w:rPr>
        <w:t>‘</w:t>
      </w:r>
      <w:r w:rsidR="003472B9" w:rsidRPr="003472B9">
        <w:rPr>
          <w:rFonts w:ascii="Calibri" w:eastAsia="Calibri" w:hAnsi="Calibri" w:cs="Calibri"/>
          <w:color w:val="auto"/>
          <w:szCs w:val="24"/>
          <w:lang w:val="en-AU"/>
        </w:rPr>
        <w:t>safety measure</w:t>
      </w:r>
      <w:r w:rsidR="00664E37">
        <w:rPr>
          <w:rFonts w:ascii="Calibri" w:eastAsia="Calibri" w:hAnsi="Calibri" w:cs="Calibri"/>
          <w:color w:val="auto"/>
          <w:szCs w:val="24"/>
          <w:lang w:val="en-AU"/>
        </w:rPr>
        <w:t>’</w:t>
      </w:r>
      <w:r w:rsidR="003472B9" w:rsidRPr="003472B9">
        <w:rPr>
          <w:rFonts w:ascii="Calibri" w:eastAsia="Calibri" w:hAnsi="Calibri" w:cs="Calibri"/>
          <w:color w:val="auto"/>
          <w:szCs w:val="24"/>
          <w:lang w:val="en-AU"/>
        </w:rPr>
        <w:t>.</w:t>
      </w:r>
      <w:r w:rsidR="00F44CA9">
        <w:rPr>
          <w:rFonts w:ascii="Calibri" w:eastAsia="Calibri" w:hAnsi="Calibri" w:cs="Calibri"/>
          <w:color w:val="auto"/>
          <w:szCs w:val="24"/>
          <w:lang w:val="en-AU"/>
        </w:rPr>
        <w:t xml:space="preserve"> </w:t>
      </w:r>
      <w:r w:rsidR="003472B9" w:rsidRPr="003472B9">
        <w:rPr>
          <w:rFonts w:ascii="Calibri" w:eastAsia="Calibri" w:hAnsi="Calibri" w:cs="Calibri"/>
          <w:color w:val="auto"/>
          <w:szCs w:val="24"/>
          <w:lang w:val="en-AU"/>
        </w:rPr>
        <w:t xml:space="preserve">Sometimes safety measures can create </w:t>
      </w:r>
      <w:r w:rsidR="00DB50F7">
        <w:rPr>
          <w:rFonts w:ascii="Calibri" w:eastAsia="Calibri" w:hAnsi="Calibri" w:cs="Calibri"/>
          <w:color w:val="auto"/>
          <w:szCs w:val="24"/>
          <w:lang w:val="en-AU"/>
        </w:rPr>
        <w:t>other</w:t>
      </w:r>
      <w:r w:rsidR="003472B9" w:rsidRPr="003472B9">
        <w:rPr>
          <w:rFonts w:ascii="Calibri" w:eastAsia="Calibri" w:hAnsi="Calibri" w:cs="Calibri"/>
          <w:color w:val="auto"/>
          <w:szCs w:val="24"/>
          <w:lang w:val="en-AU"/>
        </w:rPr>
        <w:t xml:space="preserve"> problems. Blocking a toddler’s access to all rooms where there are power points might mean put</w:t>
      </w:r>
      <w:r w:rsidR="00664E37">
        <w:rPr>
          <w:rFonts w:ascii="Calibri" w:eastAsia="Calibri" w:hAnsi="Calibri" w:cs="Calibri"/>
          <w:color w:val="auto"/>
          <w:szCs w:val="24"/>
          <w:lang w:val="en-AU"/>
        </w:rPr>
        <w:t>ting</w:t>
      </w:r>
      <w:r w:rsidR="003472B9" w:rsidRPr="003472B9">
        <w:rPr>
          <w:rFonts w:ascii="Calibri" w:eastAsia="Calibri" w:hAnsi="Calibri" w:cs="Calibri"/>
          <w:color w:val="auto"/>
          <w:szCs w:val="24"/>
          <w:lang w:val="en-AU"/>
        </w:rPr>
        <w:t xml:space="preserve"> the toddler in a gated playpen all day; it’s safe but it </w:t>
      </w:r>
      <w:r>
        <w:rPr>
          <w:rFonts w:ascii="Calibri" w:eastAsia="Calibri" w:hAnsi="Calibri" w:cs="Calibri"/>
          <w:color w:val="auto"/>
          <w:szCs w:val="24"/>
          <w:lang w:val="en-AU"/>
        </w:rPr>
        <w:t>precludes</w:t>
      </w:r>
      <w:r w:rsidR="00F44CA9" w:rsidRPr="003472B9">
        <w:rPr>
          <w:rFonts w:ascii="Calibri" w:eastAsia="Calibri" w:hAnsi="Calibri" w:cs="Calibri"/>
          <w:color w:val="auto"/>
          <w:szCs w:val="24"/>
          <w:lang w:val="en-AU"/>
        </w:rPr>
        <w:t xml:space="preserve"> </w:t>
      </w:r>
      <w:r w:rsidR="003472B9" w:rsidRPr="003472B9">
        <w:rPr>
          <w:rFonts w:ascii="Calibri" w:eastAsia="Calibri" w:hAnsi="Calibri" w:cs="Calibri"/>
          <w:color w:val="auto"/>
          <w:szCs w:val="24"/>
          <w:lang w:val="en-AU"/>
        </w:rPr>
        <w:t>the positive aspects of exploring the world outside the playpen.</w:t>
      </w:r>
      <w:r w:rsidR="00E96D1C">
        <w:rPr>
          <w:rFonts w:ascii="Calibri" w:eastAsia="Calibri" w:hAnsi="Calibri" w:cs="Calibri"/>
          <w:color w:val="auto"/>
          <w:szCs w:val="24"/>
          <w:lang w:val="en-AU"/>
        </w:rPr>
        <w:t xml:space="preserve"> </w:t>
      </w:r>
    </w:p>
    <w:p w14:paraId="7CFE1AC0" w14:textId="0996CCCF"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This leads us to contemplating </w:t>
      </w:r>
      <w:r w:rsidR="00DB50F7">
        <w:rPr>
          <w:rFonts w:ascii="Calibri" w:eastAsia="Calibri" w:hAnsi="Calibri" w:cs="Calibri"/>
          <w:color w:val="auto"/>
          <w:szCs w:val="24"/>
          <w:lang w:val="en-AU"/>
        </w:rPr>
        <w:t>‘</w:t>
      </w:r>
      <w:r w:rsidRPr="003472B9">
        <w:rPr>
          <w:rFonts w:ascii="Calibri" w:eastAsia="Calibri" w:hAnsi="Calibri" w:cs="Calibri"/>
          <w:color w:val="auto"/>
          <w:szCs w:val="24"/>
          <w:lang w:val="en-AU"/>
        </w:rPr>
        <w:t>safeguards</w:t>
      </w:r>
      <w:r w:rsidR="00DB50F7">
        <w:rPr>
          <w:rFonts w:ascii="Calibri" w:eastAsia="Calibri" w:hAnsi="Calibri" w:cs="Calibri"/>
          <w:color w:val="auto"/>
          <w:szCs w:val="24"/>
          <w:lang w:val="en-AU"/>
        </w:rPr>
        <w:t>’</w:t>
      </w:r>
      <w:r w:rsidRPr="003472B9">
        <w:rPr>
          <w:rFonts w:ascii="Calibri" w:eastAsia="Calibri" w:hAnsi="Calibri" w:cs="Calibri"/>
          <w:color w:val="auto"/>
          <w:szCs w:val="24"/>
          <w:lang w:val="en-AU"/>
        </w:rPr>
        <w:t xml:space="preserve">.  </w:t>
      </w:r>
      <w:r w:rsidR="00DB50F7">
        <w:rPr>
          <w:rFonts w:ascii="Calibri" w:eastAsia="Calibri" w:hAnsi="Calibri" w:cs="Calibri"/>
          <w:color w:val="auto"/>
          <w:szCs w:val="24"/>
          <w:lang w:val="en-AU"/>
        </w:rPr>
        <w:t xml:space="preserve">Using the same example, </w:t>
      </w:r>
      <w:r w:rsidRPr="003472B9">
        <w:rPr>
          <w:rFonts w:ascii="Calibri" w:eastAsia="Calibri" w:hAnsi="Calibri" w:cs="Calibri"/>
          <w:color w:val="auto"/>
          <w:szCs w:val="24"/>
          <w:lang w:val="en-AU"/>
        </w:rPr>
        <w:t xml:space="preserve">a safeguard </w:t>
      </w:r>
      <w:r w:rsidR="00147DB4">
        <w:rPr>
          <w:rFonts w:ascii="Calibri" w:eastAsia="Calibri" w:hAnsi="Calibri" w:cs="Calibri"/>
          <w:color w:val="auto"/>
          <w:szCs w:val="24"/>
          <w:lang w:val="en-AU"/>
        </w:rPr>
        <w:t xml:space="preserve">for a </w:t>
      </w:r>
      <w:r w:rsidR="00147DB4" w:rsidRPr="003472B9">
        <w:rPr>
          <w:rFonts w:ascii="Calibri" w:eastAsia="Calibri" w:hAnsi="Calibri" w:cs="Calibri"/>
          <w:color w:val="auto"/>
          <w:szCs w:val="24"/>
          <w:lang w:val="en-AU"/>
        </w:rPr>
        <w:t xml:space="preserve">toddler </w:t>
      </w:r>
      <w:r w:rsidR="00147DB4">
        <w:rPr>
          <w:rFonts w:ascii="Calibri" w:eastAsia="Calibri" w:hAnsi="Calibri" w:cs="Calibri"/>
          <w:color w:val="auto"/>
          <w:szCs w:val="24"/>
          <w:lang w:val="en-AU"/>
        </w:rPr>
        <w:t xml:space="preserve">exploring </w:t>
      </w:r>
      <w:r w:rsidR="00147DB4" w:rsidRPr="003472B9">
        <w:rPr>
          <w:rFonts w:ascii="Calibri" w:eastAsia="Calibri" w:hAnsi="Calibri" w:cs="Calibri"/>
          <w:color w:val="auto"/>
          <w:szCs w:val="24"/>
          <w:lang w:val="en-AU"/>
        </w:rPr>
        <w:t xml:space="preserve">a room that has power points </w:t>
      </w:r>
      <w:r w:rsidRPr="003472B9">
        <w:rPr>
          <w:rFonts w:ascii="Calibri" w:eastAsia="Calibri" w:hAnsi="Calibri" w:cs="Calibri"/>
          <w:color w:val="auto"/>
          <w:szCs w:val="24"/>
          <w:lang w:val="en-AU"/>
        </w:rPr>
        <w:t xml:space="preserve">might include using plastic </w:t>
      </w:r>
      <w:r w:rsidR="00147DB4">
        <w:rPr>
          <w:rFonts w:ascii="Calibri" w:eastAsia="Calibri" w:hAnsi="Calibri" w:cs="Calibri"/>
          <w:color w:val="auto"/>
          <w:szCs w:val="24"/>
          <w:lang w:val="en-AU"/>
        </w:rPr>
        <w:t>plugs or safety covers</w:t>
      </w:r>
      <w:r w:rsidRPr="003472B9">
        <w:rPr>
          <w:rFonts w:ascii="Calibri" w:eastAsia="Calibri" w:hAnsi="Calibri" w:cs="Calibri"/>
          <w:color w:val="auto"/>
          <w:szCs w:val="24"/>
          <w:lang w:val="en-AU"/>
        </w:rPr>
        <w:t xml:space="preserve">.  This manages the risk of </w:t>
      </w:r>
      <w:r w:rsidR="00147DB4">
        <w:rPr>
          <w:rFonts w:ascii="Calibri" w:eastAsia="Calibri" w:hAnsi="Calibri" w:cs="Calibri"/>
          <w:color w:val="auto"/>
          <w:szCs w:val="24"/>
          <w:lang w:val="en-AU"/>
        </w:rPr>
        <w:t>electrical hazards that may be encountered from</w:t>
      </w:r>
      <w:r w:rsidR="00147DB4" w:rsidRPr="00147DB4">
        <w:t xml:space="preserve"> </w:t>
      </w:r>
      <w:r w:rsidR="00147DB4">
        <w:rPr>
          <w:rFonts w:ascii="Calibri" w:eastAsia="Calibri" w:hAnsi="Calibri" w:cs="Calibri"/>
          <w:color w:val="auto"/>
          <w:szCs w:val="24"/>
          <w:lang w:val="en-AU"/>
        </w:rPr>
        <w:t>a toddler putting t</w:t>
      </w:r>
      <w:r w:rsidR="00147DB4" w:rsidRPr="00147DB4">
        <w:rPr>
          <w:rFonts w:ascii="Calibri" w:eastAsia="Calibri" w:hAnsi="Calibri" w:cs="Calibri"/>
          <w:color w:val="auto"/>
          <w:szCs w:val="24"/>
          <w:lang w:val="en-AU"/>
        </w:rPr>
        <w:t>heir little fingers or small objects into plug sockets</w:t>
      </w:r>
      <w:r w:rsidRPr="003472B9">
        <w:rPr>
          <w:rFonts w:ascii="Calibri" w:eastAsia="Calibri" w:hAnsi="Calibri" w:cs="Calibri"/>
          <w:color w:val="auto"/>
          <w:szCs w:val="24"/>
          <w:lang w:val="en-AU"/>
        </w:rPr>
        <w:t xml:space="preserve">, without </w:t>
      </w:r>
      <w:r w:rsidR="005C3244">
        <w:rPr>
          <w:rFonts w:ascii="Calibri" w:eastAsia="Calibri" w:hAnsi="Calibri" w:cs="Calibri"/>
          <w:color w:val="auto"/>
          <w:szCs w:val="24"/>
          <w:lang w:val="en-AU"/>
        </w:rPr>
        <w:t>obstructing</w:t>
      </w:r>
      <w:r w:rsidRPr="003472B9">
        <w:rPr>
          <w:rFonts w:ascii="Calibri" w:eastAsia="Calibri" w:hAnsi="Calibri" w:cs="Calibri"/>
          <w:color w:val="auto"/>
          <w:szCs w:val="24"/>
          <w:lang w:val="en-AU"/>
        </w:rPr>
        <w:t xml:space="preserve"> opportunities for play in the room.</w:t>
      </w:r>
    </w:p>
    <w:p w14:paraId="3B554477" w14:textId="3637F5D0"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For the purpose of this </w:t>
      </w:r>
      <w:r w:rsidR="00D63717">
        <w:rPr>
          <w:rFonts w:ascii="Calibri" w:eastAsia="Calibri" w:hAnsi="Calibri" w:cs="Calibri"/>
          <w:color w:val="auto"/>
          <w:szCs w:val="24"/>
          <w:lang w:val="en-AU"/>
        </w:rPr>
        <w:t>tool</w:t>
      </w:r>
      <w:r w:rsidRPr="003472B9">
        <w:rPr>
          <w:rFonts w:ascii="Calibri" w:eastAsia="Calibri" w:hAnsi="Calibri" w:cs="Calibri"/>
          <w:color w:val="auto"/>
          <w:szCs w:val="24"/>
          <w:lang w:val="en-AU"/>
        </w:rPr>
        <w:t>, the difference between a safety measure and a safeguarding measure is:</w:t>
      </w:r>
    </w:p>
    <w:p w14:paraId="513067DD" w14:textId="61718102" w:rsidR="003472B9" w:rsidRPr="00FB3BBA" w:rsidRDefault="003472B9" w:rsidP="00D63717">
      <w:pPr>
        <w:pStyle w:val="ListParagraph"/>
        <w:numPr>
          <w:ilvl w:val="0"/>
          <w:numId w:val="12"/>
        </w:numPr>
        <w:spacing w:after="120" w:line="240" w:lineRule="auto"/>
        <w:ind w:right="0"/>
        <w:rPr>
          <w:rFonts w:ascii="Calibri" w:eastAsia="Calibri" w:hAnsi="Calibri" w:cs="Calibri"/>
          <w:color w:val="auto"/>
          <w:szCs w:val="24"/>
          <w:lang w:val="en-AU"/>
        </w:rPr>
      </w:pPr>
      <w:r w:rsidRPr="00FB3BBA">
        <w:rPr>
          <w:rFonts w:ascii="Calibri" w:eastAsia="Calibri" w:hAnsi="Calibri" w:cs="Calibri"/>
          <w:color w:val="auto"/>
          <w:szCs w:val="24"/>
          <w:lang w:val="en-AU"/>
        </w:rPr>
        <w:t xml:space="preserve">A </w:t>
      </w:r>
      <w:r w:rsidRPr="00D63717">
        <w:rPr>
          <w:rStyle w:val="HeadingitalicsChar"/>
        </w:rPr>
        <w:t xml:space="preserve">safety measure </w:t>
      </w:r>
      <w:r w:rsidRPr="00FB3BBA">
        <w:rPr>
          <w:rFonts w:ascii="Calibri" w:eastAsia="Calibri" w:hAnsi="Calibri" w:cs="Calibri"/>
          <w:color w:val="auto"/>
          <w:szCs w:val="24"/>
          <w:lang w:val="en-AU"/>
        </w:rPr>
        <w:t>is designed to remove risk.  In removing that risk, opportunities can also be removed</w:t>
      </w:r>
      <w:r w:rsidR="005C3244">
        <w:rPr>
          <w:rFonts w:ascii="Calibri" w:eastAsia="Calibri" w:hAnsi="Calibri" w:cs="Calibri"/>
          <w:color w:val="auto"/>
          <w:szCs w:val="24"/>
          <w:lang w:val="en-AU"/>
        </w:rPr>
        <w:t>.</w:t>
      </w:r>
    </w:p>
    <w:p w14:paraId="490D72EF" w14:textId="46294CA6" w:rsidR="003472B9" w:rsidRPr="00FB3BBA" w:rsidRDefault="003472B9" w:rsidP="00D63717">
      <w:pPr>
        <w:pStyle w:val="ListParagraph"/>
        <w:numPr>
          <w:ilvl w:val="0"/>
          <w:numId w:val="12"/>
        </w:numPr>
        <w:spacing w:after="120" w:line="240" w:lineRule="auto"/>
        <w:ind w:right="0"/>
        <w:rPr>
          <w:rFonts w:ascii="Calibri" w:eastAsia="Calibri" w:hAnsi="Calibri" w:cs="Calibri"/>
          <w:color w:val="auto"/>
          <w:szCs w:val="24"/>
          <w:lang w:val="en-AU"/>
        </w:rPr>
      </w:pPr>
      <w:r w:rsidRPr="00FB3BBA">
        <w:rPr>
          <w:rFonts w:ascii="Calibri" w:eastAsia="Calibri" w:hAnsi="Calibri" w:cs="Calibri"/>
          <w:color w:val="auto"/>
          <w:szCs w:val="24"/>
          <w:lang w:val="en-AU"/>
        </w:rPr>
        <w:t xml:space="preserve">A </w:t>
      </w:r>
      <w:r w:rsidRPr="00D63717">
        <w:rPr>
          <w:rStyle w:val="HeadingitalicsChar"/>
        </w:rPr>
        <w:t>safeguarding measure</w:t>
      </w:r>
      <w:r w:rsidRPr="00FB3BBA">
        <w:rPr>
          <w:rFonts w:ascii="Calibri" w:eastAsia="Calibri" w:hAnsi="Calibri" w:cs="Calibri"/>
          <w:color w:val="auto"/>
          <w:szCs w:val="24"/>
          <w:lang w:val="en-AU"/>
        </w:rPr>
        <w:t xml:space="preserve"> is designed to manage risk, so that opportunities are not removed.  Opportunities are retained, and so is some risk</w:t>
      </w:r>
    </w:p>
    <w:p w14:paraId="0C6F47EF" w14:textId="63CCABE6"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lastRenderedPageBreak/>
        <w:t>Thinking about the risk of drowning, a range of safety measures</w:t>
      </w:r>
      <w:r w:rsidR="00F44CA9">
        <w:rPr>
          <w:rFonts w:ascii="Calibri" w:eastAsia="Calibri" w:hAnsi="Calibri" w:cs="Calibri"/>
          <w:color w:val="auto"/>
          <w:szCs w:val="24"/>
          <w:lang w:val="en-AU"/>
        </w:rPr>
        <w:t xml:space="preserve"> are obvious </w:t>
      </w:r>
      <w:r w:rsidRPr="003472B9">
        <w:rPr>
          <w:rFonts w:ascii="Calibri" w:eastAsia="Calibri" w:hAnsi="Calibri" w:cs="Calibri"/>
          <w:color w:val="auto"/>
          <w:szCs w:val="24"/>
          <w:lang w:val="en-AU"/>
        </w:rPr>
        <w:t>including barriers between people and water, removing water, and so on.</w:t>
      </w:r>
      <w:r w:rsidR="00C22471">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However, while it is easy to identify a range of safety measures</w:t>
      </w:r>
      <w:r w:rsidR="00C22471">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to reduce the risk of drowning, the default approach is one of safeguarding</w:t>
      </w:r>
      <w:r w:rsidR="00E96D1C">
        <w:rPr>
          <w:rFonts w:ascii="Calibri" w:eastAsia="Calibri" w:hAnsi="Calibri" w:cs="Calibri"/>
          <w:color w:val="auto"/>
          <w:szCs w:val="24"/>
          <w:lang w:val="en-AU"/>
        </w:rPr>
        <w:t>;</w:t>
      </w:r>
      <w:r w:rsidRPr="003472B9">
        <w:rPr>
          <w:rFonts w:ascii="Calibri" w:eastAsia="Calibri" w:hAnsi="Calibri" w:cs="Calibri"/>
          <w:color w:val="auto"/>
          <w:szCs w:val="24"/>
          <w:lang w:val="en-AU"/>
        </w:rPr>
        <w:t xml:space="preserve"> people are taught to be as safe as possible around water,</w:t>
      </w:r>
      <w:r w:rsidR="00F44CA9">
        <w:rPr>
          <w:rFonts w:ascii="Calibri" w:eastAsia="Calibri" w:hAnsi="Calibri" w:cs="Calibri"/>
          <w:color w:val="auto"/>
          <w:szCs w:val="24"/>
          <w:lang w:val="en-AU"/>
        </w:rPr>
        <w:t xml:space="preserve"> which</w:t>
      </w:r>
      <w:r w:rsidRPr="003472B9">
        <w:rPr>
          <w:rFonts w:ascii="Calibri" w:eastAsia="Calibri" w:hAnsi="Calibri" w:cs="Calibri"/>
          <w:color w:val="auto"/>
          <w:szCs w:val="24"/>
          <w:lang w:val="en-AU"/>
        </w:rPr>
        <w:t xml:space="preserve"> includ</w:t>
      </w:r>
      <w:r w:rsidR="00F44CA9">
        <w:rPr>
          <w:rFonts w:ascii="Calibri" w:eastAsia="Calibri" w:hAnsi="Calibri" w:cs="Calibri"/>
          <w:color w:val="auto"/>
          <w:szCs w:val="24"/>
          <w:lang w:val="en-AU"/>
        </w:rPr>
        <w:t>es</w:t>
      </w:r>
      <w:r w:rsidRPr="003472B9">
        <w:rPr>
          <w:rFonts w:ascii="Calibri" w:eastAsia="Calibri" w:hAnsi="Calibri" w:cs="Calibri"/>
          <w:color w:val="auto"/>
          <w:szCs w:val="24"/>
          <w:lang w:val="en-AU"/>
        </w:rPr>
        <w:t xml:space="preserve"> learning to swim.  This does not eliminate the risk of drowning, but it is a way of managing the risk without </w:t>
      </w:r>
      <w:r w:rsidR="00C22471">
        <w:rPr>
          <w:rFonts w:ascii="Calibri" w:eastAsia="Calibri" w:hAnsi="Calibri" w:cs="Calibri"/>
          <w:color w:val="auto"/>
          <w:szCs w:val="24"/>
          <w:lang w:val="en-AU"/>
        </w:rPr>
        <w:t>limiting</w:t>
      </w:r>
      <w:r w:rsidRPr="003472B9">
        <w:rPr>
          <w:rFonts w:ascii="Calibri" w:eastAsia="Calibri" w:hAnsi="Calibri" w:cs="Calibri"/>
          <w:color w:val="auto"/>
          <w:szCs w:val="24"/>
          <w:lang w:val="en-AU"/>
        </w:rPr>
        <w:t xml:space="preserve"> opportunities that water presents</w:t>
      </w:r>
      <w:r w:rsidR="00C22471">
        <w:rPr>
          <w:rFonts w:ascii="Calibri" w:eastAsia="Calibri" w:hAnsi="Calibri" w:cs="Calibri"/>
          <w:color w:val="auto"/>
          <w:szCs w:val="24"/>
          <w:lang w:val="en-AU"/>
        </w:rPr>
        <w:t xml:space="preserve"> such as </w:t>
      </w:r>
      <w:r w:rsidRPr="003472B9">
        <w:rPr>
          <w:rFonts w:ascii="Calibri" w:eastAsia="Calibri" w:hAnsi="Calibri" w:cs="Calibri"/>
          <w:color w:val="auto"/>
          <w:szCs w:val="24"/>
          <w:lang w:val="en-AU"/>
        </w:rPr>
        <w:t>employment (working in industries that involve proximity to water), recreation (going to the pool</w:t>
      </w:r>
      <w:r w:rsidR="00C22471">
        <w:rPr>
          <w:rFonts w:ascii="Calibri" w:eastAsia="Calibri" w:hAnsi="Calibri" w:cs="Calibri"/>
          <w:color w:val="auto"/>
          <w:szCs w:val="24"/>
          <w:lang w:val="en-AU"/>
        </w:rPr>
        <w:t xml:space="preserve"> or </w:t>
      </w:r>
      <w:r w:rsidRPr="003472B9">
        <w:rPr>
          <w:rFonts w:ascii="Calibri" w:eastAsia="Calibri" w:hAnsi="Calibri" w:cs="Calibri"/>
          <w:color w:val="auto"/>
          <w:szCs w:val="24"/>
          <w:lang w:val="en-AU"/>
        </w:rPr>
        <w:t xml:space="preserve">beach), and fellowship (being with friends </w:t>
      </w:r>
      <w:r w:rsidR="00C22471">
        <w:rPr>
          <w:rFonts w:ascii="Calibri" w:eastAsia="Calibri" w:hAnsi="Calibri" w:cs="Calibri"/>
          <w:color w:val="auto"/>
          <w:szCs w:val="24"/>
          <w:lang w:val="en-AU"/>
        </w:rPr>
        <w:t xml:space="preserve">in or </w:t>
      </w:r>
      <w:r w:rsidRPr="003472B9">
        <w:rPr>
          <w:rFonts w:ascii="Calibri" w:eastAsia="Calibri" w:hAnsi="Calibri" w:cs="Calibri"/>
          <w:color w:val="auto"/>
          <w:szCs w:val="24"/>
          <w:lang w:val="en-AU"/>
        </w:rPr>
        <w:t>near water).</w:t>
      </w:r>
    </w:p>
    <w:p w14:paraId="11B59EAF" w14:textId="55A6B082"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Thinking about the education context, there will always be some students </w:t>
      </w:r>
      <w:r w:rsidR="007F67F8">
        <w:rPr>
          <w:rFonts w:ascii="Calibri" w:eastAsia="Calibri" w:hAnsi="Calibri" w:cs="Calibri"/>
          <w:color w:val="auto"/>
          <w:szCs w:val="24"/>
          <w:lang w:val="en-AU"/>
        </w:rPr>
        <w:t xml:space="preserve">that </w:t>
      </w:r>
      <w:r w:rsidR="00E96D1C">
        <w:rPr>
          <w:rFonts w:ascii="Calibri" w:eastAsia="Calibri" w:hAnsi="Calibri" w:cs="Calibri"/>
          <w:color w:val="auto"/>
          <w:szCs w:val="24"/>
          <w:lang w:val="en-AU"/>
        </w:rPr>
        <w:t>are viewed</w:t>
      </w:r>
      <w:r w:rsidRPr="003472B9">
        <w:rPr>
          <w:rFonts w:ascii="Calibri" w:eastAsia="Calibri" w:hAnsi="Calibri" w:cs="Calibri"/>
          <w:color w:val="auto"/>
          <w:szCs w:val="24"/>
          <w:lang w:val="en-AU"/>
        </w:rPr>
        <w:t xml:space="preserve"> </w:t>
      </w:r>
      <w:r w:rsidR="007F67F8">
        <w:rPr>
          <w:rFonts w:ascii="Calibri" w:eastAsia="Calibri" w:hAnsi="Calibri" w:cs="Calibri"/>
          <w:color w:val="auto"/>
          <w:szCs w:val="24"/>
          <w:lang w:val="en-AU"/>
        </w:rPr>
        <w:t xml:space="preserve">as bringing </w:t>
      </w:r>
      <w:r w:rsidRPr="003472B9">
        <w:rPr>
          <w:rFonts w:ascii="Calibri" w:eastAsia="Calibri" w:hAnsi="Calibri" w:cs="Calibri"/>
          <w:color w:val="auto"/>
          <w:szCs w:val="24"/>
          <w:lang w:val="en-AU"/>
        </w:rPr>
        <w:t xml:space="preserve">greater risk of </w:t>
      </w:r>
      <w:r w:rsidR="007F67F8">
        <w:rPr>
          <w:rFonts w:ascii="Calibri" w:eastAsia="Calibri" w:hAnsi="Calibri" w:cs="Calibri"/>
          <w:color w:val="auto"/>
          <w:szCs w:val="24"/>
          <w:lang w:val="en-AU"/>
        </w:rPr>
        <w:t>harm or danger to themselves and others</w:t>
      </w:r>
      <w:r w:rsidRPr="003472B9">
        <w:rPr>
          <w:rFonts w:ascii="Calibri" w:eastAsia="Calibri" w:hAnsi="Calibri" w:cs="Calibri"/>
          <w:color w:val="auto"/>
          <w:szCs w:val="24"/>
          <w:lang w:val="en-AU"/>
        </w:rPr>
        <w:t>.</w:t>
      </w:r>
      <w:r w:rsidR="007F67F8">
        <w:rPr>
          <w:rFonts w:ascii="Calibri" w:eastAsia="Calibri" w:hAnsi="Calibri" w:cs="Calibri"/>
          <w:color w:val="auto"/>
          <w:szCs w:val="24"/>
          <w:lang w:val="en-AU"/>
        </w:rPr>
        <w:t xml:space="preserve"> </w:t>
      </w:r>
      <w:r w:rsidR="00E96D1C">
        <w:rPr>
          <w:rFonts w:ascii="Calibri" w:eastAsia="Calibri" w:hAnsi="Calibri" w:cs="Calibri"/>
          <w:color w:val="auto"/>
          <w:szCs w:val="24"/>
          <w:lang w:val="en-AU"/>
        </w:rPr>
        <w:t xml:space="preserve">For example, </w:t>
      </w:r>
      <w:r w:rsidRPr="003472B9">
        <w:rPr>
          <w:rFonts w:ascii="Calibri" w:eastAsia="Calibri" w:hAnsi="Calibri" w:cs="Calibri"/>
          <w:color w:val="auto"/>
          <w:szCs w:val="24"/>
          <w:lang w:val="en-AU"/>
        </w:rPr>
        <w:t xml:space="preserve">concerns about behaviour in the classroom that seems difficult to manage, or the risk of </w:t>
      </w:r>
      <w:r w:rsidR="007F67F8">
        <w:rPr>
          <w:rFonts w:ascii="Calibri" w:eastAsia="Calibri" w:hAnsi="Calibri" w:cs="Calibri"/>
          <w:color w:val="auto"/>
          <w:szCs w:val="24"/>
          <w:lang w:val="en-AU"/>
        </w:rPr>
        <w:t xml:space="preserve">a </w:t>
      </w:r>
      <w:r w:rsidRPr="003472B9">
        <w:rPr>
          <w:rFonts w:ascii="Calibri" w:eastAsia="Calibri" w:hAnsi="Calibri" w:cs="Calibri"/>
          <w:color w:val="auto"/>
          <w:szCs w:val="24"/>
          <w:lang w:val="en-AU"/>
        </w:rPr>
        <w:t>student leaving the school campus and</w:t>
      </w:r>
      <w:r w:rsidR="007F67F8">
        <w:rPr>
          <w:rFonts w:ascii="Calibri" w:eastAsia="Calibri" w:hAnsi="Calibri" w:cs="Calibri"/>
          <w:color w:val="auto"/>
          <w:szCs w:val="24"/>
          <w:lang w:val="en-AU"/>
        </w:rPr>
        <w:t xml:space="preserve"> running onto a road</w:t>
      </w:r>
      <w:r w:rsidRPr="003472B9">
        <w:rPr>
          <w:rFonts w:ascii="Calibri" w:eastAsia="Calibri" w:hAnsi="Calibri" w:cs="Calibri"/>
          <w:color w:val="auto"/>
          <w:szCs w:val="24"/>
          <w:lang w:val="en-AU"/>
        </w:rPr>
        <w:t>. Sometimes, this can result in the student being labelled as having ‘challenging behaviour’</w:t>
      </w:r>
      <w:r w:rsidR="007F67F8">
        <w:rPr>
          <w:rFonts w:ascii="Calibri" w:eastAsia="Calibri" w:hAnsi="Calibri" w:cs="Calibri"/>
          <w:color w:val="auto"/>
          <w:szCs w:val="24"/>
          <w:lang w:val="en-AU"/>
        </w:rPr>
        <w:t xml:space="preserve"> or even labelled as a ‘</w:t>
      </w:r>
      <w:r w:rsidR="009D2DE3">
        <w:rPr>
          <w:rFonts w:ascii="Calibri" w:eastAsia="Calibri" w:hAnsi="Calibri" w:cs="Calibri"/>
          <w:color w:val="auto"/>
          <w:szCs w:val="24"/>
          <w:lang w:val="en-AU"/>
        </w:rPr>
        <w:t>challenging</w:t>
      </w:r>
      <w:r w:rsidR="007F67F8">
        <w:rPr>
          <w:rFonts w:ascii="Calibri" w:eastAsia="Calibri" w:hAnsi="Calibri" w:cs="Calibri"/>
          <w:color w:val="auto"/>
          <w:szCs w:val="24"/>
          <w:lang w:val="en-AU"/>
        </w:rPr>
        <w:t xml:space="preserve"> student’</w:t>
      </w:r>
      <w:r w:rsidRPr="003472B9">
        <w:rPr>
          <w:rFonts w:ascii="Calibri" w:eastAsia="Calibri" w:hAnsi="Calibri" w:cs="Calibri"/>
          <w:color w:val="auto"/>
          <w:szCs w:val="24"/>
          <w:lang w:val="en-AU"/>
        </w:rPr>
        <w:t>.</w:t>
      </w:r>
      <w:r w:rsidR="007F67F8">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 xml:space="preserve">When this label is assigned to the student, the focus can then become one of reducing the possibility of that behaviour happening. In other words, the issue is defined as managing the challenging behaviour. This can then lead to solutions that focus on minimising the emergence of the </w:t>
      </w:r>
      <w:r w:rsidR="00982A89" w:rsidRPr="003472B9">
        <w:rPr>
          <w:rFonts w:ascii="Calibri" w:eastAsia="Calibri" w:hAnsi="Calibri" w:cs="Calibri"/>
          <w:color w:val="auto"/>
          <w:szCs w:val="24"/>
          <w:lang w:val="en-AU"/>
        </w:rPr>
        <w:t>behaviour and</w:t>
      </w:r>
      <w:r w:rsidRPr="003472B9">
        <w:rPr>
          <w:rFonts w:ascii="Calibri" w:eastAsia="Calibri" w:hAnsi="Calibri" w:cs="Calibri"/>
          <w:color w:val="auto"/>
          <w:szCs w:val="24"/>
          <w:lang w:val="en-AU"/>
        </w:rPr>
        <w:t xml:space="preserve"> containing it when it happens so that other people are less affected by it. This can then result in safety measures that can include removing the student from the </w:t>
      </w:r>
      <w:r w:rsidR="00982A89" w:rsidRPr="003472B9">
        <w:rPr>
          <w:rFonts w:ascii="Calibri" w:eastAsia="Calibri" w:hAnsi="Calibri" w:cs="Calibri"/>
          <w:color w:val="auto"/>
          <w:szCs w:val="24"/>
          <w:lang w:val="en-AU"/>
        </w:rPr>
        <w:t>classroom or</w:t>
      </w:r>
      <w:r w:rsidRPr="003472B9">
        <w:rPr>
          <w:rFonts w:ascii="Calibri" w:eastAsia="Calibri" w:hAnsi="Calibri" w:cs="Calibri"/>
          <w:color w:val="auto"/>
          <w:szCs w:val="24"/>
          <w:lang w:val="en-AU"/>
        </w:rPr>
        <w:t xml:space="preserve"> placing the student in a </w:t>
      </w:r>
      <w:r w:rsidR="007F67F8">
        <w:rPr>
          <w:rFonts w:ascii="Calibri" w:eastAsia="Calibri" w:hAnsi="Calibri" w:cs="Calibri"/>
          <w:color w:val="auto"/>
          <w:szCs w:val="24"/>
          <w:lang w:val="en-AU"/>
        </w:rPr>
        <w:t>separate room. T</w:t>
      </w:r>
      <w:r w:rsidRPr="003472B9">
        <w:rPr>
          <w:rFonts w:ascii="Calibri" w:eastAsia="Calibri" w:hAnsi="Calibri" w:cs="Calibri"/>
          <w:color w:val="auto"/>
          <w:szCs w:val="24"/>
          <w:lang w:val="en-AU"/>
        </w:rPr>
        <w:t xml:space="preserve">hese </w:t>
      </w:r>
      <w:r w:rsidR="007F67F8">
        <w:rPr>
          <w:rFonts w:ascii="Calibri" w:eastAsia="Calibri" w:hAnsi="Calibri" w:cs="Calibri"/>
          <w:color w:val="auto"/>
          <w:szCs w:val="24"/>
          <w:lang w:val="en-AU"/>
        </w:rPr>
        <w:t xml:space="preserve">safety </w:t>
      </w:r>
      <w:r w:rsidRPr="003472B9">
        <w:rPr>
          <w:rFonts w:ascii="Calibri" w:eastAsia="Calibri" w:hAnsi="Calibri" w:cs="Calibri"/>
          <w:color w:val="auto"/>
          <w:szCs w:val="24"/>
          <w:lang w:val="en-AU"/>
        </w:rPr>
        <w:t>measures also train other students to see this student as somehow different</w:t>
      </w:r>
      <w:r w:rsidR="009D2DE3">
        <w:rPr>
          <w:rFonts w:ascii="Calibri" w:eastAsia="Calibri" w:hAnsi="Calibri" w:cs="Calibri"/>
          <w:color w:val="auto"/>
          <w:szCs w:val="24"/>
          <w:lang w:val="en-AU"/>
        </w:rPr>
        <w:t xml:space="preserve"> </w:t>
      </w:r>
      <w:r w:rsidR="00E96D1C">
        <w:rPr>
          <w:rFonts w:ascii="Calibri" w:eastAsia="Calibri" w:hAnsi="Calibri" w:cs="Calibri"/>
          <w:color w:val="auto"/>
          <w:szCs w:val="24"/>
          <w:lang w:val="en-AU"/>
        </w:rPr>
        <w:t xml:space="preserve">from them </w:t>
      </w:r>
      <w:r w:rsidR="009D2DE3">
        <w:rPr>
          <w:rFonts w:ascii="Calibri" w:eastAsia="Calibri" w:hAnsi="Calibri" w:cs="Calibri"/>
          <w:color w:val="auto"/>
          <w:szCs w:val="24"/>
          <w:lang w:val="en-AU"/>
        </w:rPr>
        <w:t>or ‘other’</w:t>
      </w:r>
      <w:r w:rsidRPr="003472B9">
        <w:rPr>
          <w:rFonts w:ascii="Calibri" w:eastAsia="Calibri" w:hAnsi="Calibri" w:cs="Calibri"/>
          <w:color w:val="auto"/>
          <w:szCs w:val="24"/>
          <w:lang w:val="en-AU"/>
        </w:rPr>
        <w:t xml:space="preserve">. This reinforces the </w:t>
      </w:r>
      <w:r w:rsidR="009D2DE3">
        <w:rPr>
          <w:rFonts w:ascii="Calibri" w:eastAsia="Calibri" w:hAnsi="Calibri" w:cs="Calibri"/>
          <w:color w:val="auto"/>
          <w:szCs w:val="24"/>
          <w:lang w:val="en-AU"/>
        </w:rPr>
        <w:t xml:space="preserve">toxic narrative </w:t>
      </w:r>
      <w:r w:rsidRPr="003472B9">
        <w:rPr>
          <w:rFonts w:ascii="Calibri" w:eastAsia="Calibri" w:hAnsi="Calibri" w:cs="Calibri"/>
          <w:color w:val="auto"/>
          <w:szCs w:val="24"/>
          <w:lang w:val="en-AU"/>
        </w:rPr>
        <w:t>that people living with disability are taken care of somewhere else, because they are different to regular folk and therefore regular folk aren't involved with them as fellow students, friends, workmates, etc.</w:t>
      </w:r>
    </w:p>
    <w:p w14:paraId="206616F7" w14:textId="7CA1F34C"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By assigning the label of ‘challenging behaviour’ and undertaking safety measures, we have reduced the opportunity for the student to be a valued participant in the mainstream setting, and in so doing have reduced their standing in the eyes of their peers.</w:t>
      </w:r>
      <w:r w:rsidR="009D2DE3">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 xml:space="preserve">In this way, the safety measures have reduced </w:t>
      </w:r>
      <w:r w:rsidR="009D2DE3">
        <w:rPr>
          <w:rFonts w:ascii="Calibri" w:eastAsia="Calibri" w:hAnsi="Calibri" w:cs="Calibri"/>
          <w:color w:val="auto"/>
          <w:szCs w:val="24"/>
          <w:lang w:val="en-AU"/>
        </w:rPr>
        <w:t xml:space="preserve">the student’s </w:t>
      </w:r>
      <w:r w:rsidRPr="003472B9">
        <w:rPr>
          <w:rFonts w:ascii="Calibri" w:eastAsia="Calibri" w:hAnsi="Calibri" w:cs="Calibri"/>
          <w:color w:val="auto"/>
          <w:szCs w:val="24"/>
          <w:lang w:val="en-AU"/>
        </w:rPr>
        <w:t>opportunit</w:t>
      </w:r>
      <w:r w:rsidR="009D2DE3">
        <w:rPr>
          <w:rFonts w:ascii="Calibri" w:eastAsia="Calibri" w:hAnsi="Calibri" w:cs="Calibri"/>
          <w:color w:val="auto"/>
          <w:szCs w:val="24"/>
          <w:lang w:val="en-AU"/>
        </w:rPr>
        <w:t>ies</w:t>
      </w:r>
      <w:r w:rsidRPr="003472B9">
        <w:rPr>
          <w:rFonts w:ascii="Calibri" w:eastAsia="Calibri" w:hAnsi="Calibri" w:cs="Calibri"/>
          <w:color w:val="auto"/>
          <w:szCs w:val="24"/>
          <w:lang w:val="en-AU"/>
        </w:rPr>
        <w:t xml:space="preserve"> and make it more likely the student living the disability has a lifestyle characterised by separation from their nondisabled peers</w:t>
      </w:r>
      <w:r w:rsidR="00E96D1C">
        <w:rPr>
          <w:rFonts w:ascii="Calibri" w:eastAsia="Calibri" w:hAnsi="Calibri" w:cs="Calibri"/>
          <w:color w:val="auto"/>
          <w:szCs w:val="24"/>
          <w:lang w:val="en-AU"/>
        </w:rPr>
        <w:t>; t</w:t>
      </w:r>
      <w:r w:rsidRPr="003472B9">
        <w:rPr>
          <w:rFonts w:ascii="Calibri" w:eastAsia="Calibri" w:hAnsi="Calibri" w:cs="Calibri"/>
          <w:color w:val="auto"/>
          <w:szCs w:val="24"/>
          <w:lang w:val="en-AU"/>
        </w:rPr>
        <w:t xml:space="preserve">his </w:t>
      </w:r>
      <w:r w:rsidR="00E96D1C">
        <w:rPr>
          <w:rFonts w:ascii="Calibri" w:eastAsia="Calibri" w:hAnsi="Calibri" w:cs="Calibri"/>
          <w:color w:val="auto"/>
          <w:szCs w:val="24"/>
          <w:lang w:val="en-AU"/>
        </w:rPr>
        <w:t xml:space="preserve">then </w:t>
      </w:r>
      <w:r w:rsidRPr="003472B9">
        <w:rPr>
          <w:rFonts w:ascii="Calibri" w:eastAsia="Calibri" w:hAnsi="Calibri" w:cs="Calibri"/>
          <w:color w:val="auto"/>
          <w:szCs w:val="24"/>
          <w:lang w:val="en-AU"/>
        </w:rPr>
        <w:t>continues and expands into adulthood.</w:t>
      </w:r>
    </w:p>
    <w:p w14:paraId="15CA82E5" w14:textId="1FA983DE"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The alternative is to reframe the issue.  Instead of the </w:t>
      </w:r>
      <w:r w:rsidR="009D2DE3">
        <w:rPr>
          <w:rFonts w:ascii="Calibri" w:eastAsia="Calibri" w:hAnsi="Calibri" w:cs="Calibri"/>
          <w:color w:val="auto"/>
          <w:szCs w:val="24"/>
          <w:lang w:val="en-AU"/>
        </w:rPr>
        <w:t>focus</w:t>
      </w:r>
      <w:r w:rsidRPr="003472B9">
        <w:rPr>
          <w:rFonts w:ascii="Calibri" w:eastAsia="Calibri" w:hAnsi="Calibri" w:cs="Calibri"/>
          <w:color w:val="auto"/>
          <w:szCs w:val="24"/>
          <w:lang w:val="en-AU"/>
        </w:rPr>
        <w:t xml:space="preserve"> being manag</w:t>
      </w:r>
      <w:r w:rsidR="009D2DE3">
        <w:rPr>
          <w:rFonts w:ascii="Calibri" w:eastAsia="Calibri" w:hAnsi="Calibri" w:cs="Calibri"/>
          <w:color w:val="auto"/>
          <w:szCs w:val="24"/>
          <w:lang w:val="en-AU"/>
        </w:rPr>
        <w:t xml:space="preserve">ing </w:t>
      </w:r>
      <w:r w:rsidRPr="003472B9">
        <w:rPr>
          <w:rFonts w:ascii="Calibri" w:eastAsia="Calibri" w:hAnsi="Calibri" w:cs="Calibri"/>
          <w:color w:val="auto"/>
          <w:szCs w:val="24"/>
          <w:lang w:val="en-AU"/>
        </w:rPr>
        <w:t>the</w:t>
      </w:r>
      <w:r w:rsidR="009D2DE3">
        <w:rPr>
          <w:rFonts w:ascii="Calibri" w:eastAsia="Calibri" w:hAnsi="Calibri" w:cs="Calibri"/>
          <w:color w:val="auto"/>
          <w:szCs w:val="24"/>
          <w:lang w:val="en-AU"/>
        </w:rPr>
        <w:t xml:space="preserve"> </w:t>
      </w:r>
      <w:r w:rsidR="002E4BF9">
        <w:rPr>
          <w:rFonts w:ascii="Calibri" w:eastAsia="Calibri" w:hAnsi="Calibri" w:cs="Calibri"/>
          <w:color w:val="auto"/>
          <w:szCs w:val="24"/>
          <w:lang w:val="en-AU"/>
        </w:rPr>
        <w:t>‘</w:t>
      </w:r>
      <w:r w:rsidR="009D2DE3">
        <w:rPr>
          <w:rFonts w:ascii="Calibri" w:eastAsia="Calibri" w:hAnsi="Calibri" w:cs="Calibri"/>
          <w:color w:val="auto"/>
          <w:szCs w:val="24"/>
          <w:lang w:val="en-AU"/>
        </w:rPr>
        <w:t xml:space="preserve">challenging </w:t>
      </w:r>
      <w:r w:rsidR="003D1C65">
        <w:rPr>
          <w:rFonts w:ascii="Calibri" w:eastAsia="Calibri" w:hAnsi="Calibri" w:cs="Calibri"/>
          <w:color w:val="auto"/>
          <w:szCs w:val="24"/>
          <w:lang w:val="en-AU"/>
        </w:rPr>
        <w:t>behaviour</w:t>
      </w:r>
      <w:r w:rsidR="002E4BF9">
        <w:rPr>
          <w:rFonts w:ascii="Calibri" w:eastAsia="Calibri" w:hAnsi="Calibri" w:cs="Calibri"/>
          <w:color w:val="auto"/>
          <w:szCs w:val="24"/>
          <w:lang w:val="en-AU"/>
        </w:rPr>
        <w:t>’</w:t>
      </w:r>
      <w:r w:rsidRPr="003472B9">
        <w:rPr>
          <w:rFonts w:ascii="Calibri" w:eastAsia="Calibri" w:hAnsi="Calibri" w:cs="Calibri"/>
          <w:color w:val="auto"/>
          <w:szCs w:val="24"/>
          <w:lang w:val="en-AU"/>
        </w:rPr>
        <w:t xml:space="preserve">, </w:t>
      </w:r>
      <w:r w:rsidR="003D1C65">
        <w:rPr>
          <w:rFonts w:ascii="Calibri" w:eastAsia="Calibri" w:hAnsi="Calibri" w:cs="Calibri"/>
          <w:color w:val="auto"/>
          <w:szCs w:val="24"/>
          <w:lang w:val="en-AU"/>
        </w:rPr>
        <w:t>attention is on</w:t>
      </w:r>
      <w:r w:rsidRPr="003472B9">
        <w:rPr>
          <w:rFonts w:ascii="Calibri" w:eastAsia="Calibri" w:hAnsi="Calibri" w:cs="Calibri"/>
          <w:color w:val="auto"/>
          <w:szCs w:val="24"/>
          <w:lang w:val="en-AU"/>
        </w:rPr>
        <w:t xml:space="preserve"> how best to deliver an inclusive education to the student.  T</w:t>
      </w:r>
      <w:r w:rsidR="003D1C65">
        <w:rPr>
          <w:rFonts w:ascii="Calibri" w:eastAsia="Calibri" w:hAnsi="Calibri" w:cs="Calibri"/>
          <w:color w:val="auto"/>
          <w:szCs w:val="24"/>
          <w:lang w:val="en-AU"/>
        </w:rPr>
        <w:t xml:space="preserve">he right to inclusive education is established in various policies and laws including </w:t>
      </w:r>
      <w:r w:rsidRPr="003472B9">
        <w:rPr>
          <w:rFonts w:ascii="Calibri" w:eastAsia="Calibri" w:hAnsi="Calibri" w:cs="Calibri"/>
          <w:color w:val="auto"/>
          <w:szCs w:val="24"/>
          <w:lang w:val="en-AU"/>
        </w:rPr>
        <w:t>the United Nations Convention on the Rights of Persons with Disabilities</w:t>
      </w:r>
      <w:r w:rsidR="003D1C65">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 xml:space="preserve">With this context, attention shifts to </w:t>
      </w:r>
      <w:r w:rsidR="003D1C65">
        <w:rPr>
          <w:rFonts w:ascii="Calibri" w:eastAsia="Calibri" w:hAnsi="Calibri" w:cs="Calibri"/>
          <w:color w:val="auto"/>
          <w:szCs w:val="24"/>
          <w:lang w:val="en-AU"/>
        </w:rPr>
        <w:t xml:space="preserve">identifying and </w:t>
      </w:r>
      <w:r w:rsidRPr="003472B9">
        <w:rPr>
          <w:rFonts w:ascii="Calibri" w:eastAsia="Calibri" w:hAnsi="Calibri" w:cs="Calibri"/>
          <w:color w:val="auto"/>
          <w:szCs w:val="24"/>
          <w:lang w:val="en-AU"/>
        </w:rPr>
        <w:t>provid</w:t>
      </w:r>
      <w:r w:rsidR="003D1C65">
        <w:rPr>
          <w:rFonts w:ascii="Calibri" w:eastAsia="Calibri" w:hAnsi="Calibri" w:cs="Calibri"/>
          <w:color w:val="auto"/>
          <w:szCs w:val="24"/>
          <w:lang w:val="en-AU"/>
        </w:rPr>
        <w:t>ing</w:t>
      </w:r>
      <w:r w:rsidRPr="003472B9">
        <w:rPr>
          <w:rFonts w:ascii="Calibri" w:eastAsia="Calibri" w:hAnsi="Calibri" w:cs="Calibri"/>
          <w:color w:val="auto"/>
          <w:szCs w:val="24"/>
          <w:lang w:val="en-AU"/>
        </w:rPr>
        <w:t xml:space="preserve"> supports to the student to safeguard their continued participation and valued membership </w:t>
      </w:r>
      <w:r w:rsidR="00E96D1C">
        <w:rPr>
          <w:rFonts w:ascii="Calibri" w:eastAsia="Calibri" w:hAnsi="Calibri" w:cs="Calibri"/>
          <w:color w:val="auto"/>
          <w:szCs w:val="24"/>
          <w:lang w:val="en-AU"/>
        </w:rPr>
        <w:t>in</w:t>
      </w:r>
      <w:r w:rsidR="003D1C65">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 xml:space="preserve">the mainstream classroom and the school community. </w:t>
      </w:r>
    </w:p>
    <w:p w14:paraId="6731F417" w14:textId="7457EF74" w:rsid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The i</w:t>
      </w:r>
      <w:r w:rsidR="00986414">
        <w:rPr>
          <w:rFonts w:ascii="Calibri" w:eastAsia="Calibri" w:hAnsi="Calibri" w:cs="Calibri"/>
          <w:color w:val="auto"/>
          <w:szCs w:val="24"/>
          <w:lang w:val="en-AU"/>
        </w:rPr>
        <w:t>nfographic</w:t>
      </w:r>
      <w:r w:rsidRPr="003472B9">
        <w:rPr>
          <w:rFonts w:ascii="Calibri" w:eastAsia="Calibri" w:hAnsi="Calibri" w:cs="Calibri"/>
          <w:color w:val="auto"/>
          <w:szCs w:val="24"/>
          <w:lang w:val="en-AU"/>
        </w:rPr>
        <w:t xml:space="preserve"> </w:t>
      </w:r>
      <w:r w:rsidR="001B509B">
        <w:rPr>
          <w:rFonts w:ascii="Calibri" w:eastAsia="Calibri" w:hAnsi="Calibri" w:cs="Calibri"/>
          <w:color w:val="auto"/>
          <w:szCs w:val="24"/>
          <w:lang w:val="en-AU"/>
        </w:rPr>
        <w:t>on the next page</w:t>
      </w:r>
      <w:r w:rsidRPr="003472B9">
        <w:rPr>
          <w:rFonts w:ascii="Calibri" w:eastAsia="Calibri" w:hAnsi="Calibri" w:cs="Calibri"/>
          <w:color w:val="auto"/>
          <w:szCs w:val="24"/>
          <w:lang w:val="en-AU"/>
        </w:rPr>
        <w:t xml:space="preserve"> is a visual summary of t</w:t>
      </w:r>
      <w:r w:rsidR="00E96D1C">
        <w:rPr>
          <w:rFonts w:ascii="Calibri" w:eastAsia="Calibri" w:hAnsi="Calibri" w:cs="Calibri"/>
          <w:color w:val="auto"/>
          <w:szCs w:val="24"/>
          <w:lang w:val="en-AU"/>
        </w:rPr>
        <w:t>hese ideas</w:t>
      </w:r>
      <w:r w:rsidRPr="003472B9">
        <w:rPr>
          <w:rFonts w:ascii="Calibri" w:eastAsia="Calibri" w:hAnsi="Calibri" w:cs="Calibri"/>
          <w:color w:val="auto"/>
          <w:szCs w:val="24"/>
          <w:lang w:val="en-AU"/>
        </w:rPr>
        <w:t xml:space="preserve">, giving rise to the </w:t>
      </w:r>
      <w:r w:rsidR="00986414" w:rsidRPr="003472B9">
        <w:rPr>
          <w:rFonts w:ascii="Calibri" w:eastAsia="Calibri" w:hAnsi="Calibri" w:cs="Calibri"/>
          <w:color w:val="auto"/>
          <w:szCs w:val="24"/>
          <w:lang w:val="en-AU"/>
        </w:rPr>
        <w:t>concept</w:t>
      </w:r>
      <w:r w:rsidR="00986414">
        <w:rPr>
          <w:rFonts w:ascii="Calibri" w:eastAsia="Calibri" w:hAnsi="Calibri" w:cs="Calibri"/>
          <w:color w:val="auto"/>
          <w:szCs w:val="24"/>
          <w:lang w:val="en-AU"/>
        </w:rPr>
        <w:t>s</w:t>
      </w:r>
      <w:r w:rsidRPr="003472B9">
        <w:rPr>
          <w:rFonts w:ascii="Calibri" w:eastAsia="Calibri" w:hAnsi="Calibri" w:cs="Calibri"/>
          <w:color w:val="auto"/>
          <w:szCs w:val="24"/>
          <w:lang w:val="en-AU"/>
        </w:rPr>
        <w:t xml:space="preserve"> of ‘</w:t>
      </w:r>
      <w:r w:rsidR="00986414">
        <w:rPr>
          <w:rFonts w:ascii="Calibri" w:eastAsia="Calibri" w:hAnsi="Calibri" w:cs="Calibri"/>
          <w:color w:val="auto"/>
          <w:szCs w:val="24"/>
          <w:lang w:val="en-AU"/>
        </w:rPr>
        <w:t>The H</w:t>
      </w:r>
      <w:r w:rsidRPr="003472B9">
        <w:rPr>
          <w:rFonts w:ascii="Calibri" w:eastAsia="Calibri" w:hAnsi="Calibri" w:cs="Calibri"/>
          <w:color w:val="auto"/>
          <w:szCs w:val="24"/>
          <w:lang w:val="en-AU"/>
        </w:rPr>
        <w:t xml:space="preserve">igh </w:t>
      </w:r>
      <w:r w:rsidR="00986414">
        <w:rPr>
          <w:rFonts w:ascii="Calibri" w:eastAsia="Calibri" w:hAnsi="Calibri" w:cs="Calibri"/>
          <w:color w:val="auto"/>
          <w:szCs w:val="24"/>
          <w:lang w:val="en-AU"/>
        </w:rPr>
        <w:t>R</w:t>
      </w:r>
      <w:r w:rsidRPr="003472B9">
        <w:rPr>
          <w:rFonts w:ascii="Calibri" w:eastAsia="Calibri" w:hAnsi="Calibri" w:cs="Calibri"/>
          <w:color w:val="auto"/>
          <w:szCs w:val="24"/>
          <w:lang w:val="en-AU"/>
        </w:rPr>
        <w:t>oad’ and ‘</w:t>
      </w:r>
      <w:r w:rsidR="00986414">
        <w:rPr>
          <w:rFonts w:ascii="Calibri" w:eastAsia="Calibri" w:hAnsi="Calibri" w:cs="Calibri"/>
          <w:color w:val="auto"/>
          <w:szCs w:val="24"/>
          <w:lang w:val="en-AU"/>
        </w:rPr>
        <w:t>The L</w:t>
      </w:r>
      <w:r w:rsidRPr="003472B9">
        <w:rPr>
          <w:rFonts w:ascii="Calibri" w:eastAsia="Calibri" w:hAnsi="Calibri" w:cs="Calibri"/>
          <w:color w:val="auto"/>
          <w:szCs w:val="24"/>
          <w:lang w:val="en-AU"/>
        </w:rPr>
        <w:t xml:space="preserve">ow </w:t>
      </w:r>
      <w:r w:rsidR="00986414">
        <w:rPr>
          <w:rFonts w:ascii="Calibri" w:eastAsia="Calibri" w:hAnsi="Calibri" w:cs="Calibri"/>
          <w:color w:val="auto"/>
          <w:szCs w:val="24"/>
          <w:lang w:val="en-AU"/>
        </w:rPr>
        <w:t>R</w:t>
      </w:r>
      <w:r w:rsidRPr="003472B9">
        <w:rPr>
          <w:rFonts w:ascii="Calibri" w:eastAsia="Calibri" w:hAnsi="Calibri" w:cs="Calibri"/>
          <w:color w:val="auto"/>
          <w:szCs w:val="24"/>
          <w:lang w:val="en-AU"/>
        </w:rPr>
        <w:t>oad’.</w:t>
      </w:r>
    </w:p>
    <w:p w14:paraId="314A9010" w14:textId="376DA69C" w:rsidR="003D1C65" w:rsidRDefault="003D1C65"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noProof/>
          <w:color w:val="auto"/>
          <w:szCs w:val="24"/>
          <w:lang w:val="en-AU"/>
        </w:rPr>
        <w:lastRenderedPageBreak/>
        <w:drawing>
          <wp:inline distT="0" distB="0" distL="0" distR="0" wp14:anchorId="049D8A2A" wp14:editId="31574F97">
            <wp:extent cx="5259600" cy="39456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nking about supporting a student whose circumstances cause concern infographic.png"/>
                    <pic:cNvPicPr/>
                  </pic:nvPicPr>
                  <pic:blipFill>
                    <a:blip r:embed="rId9">
                      <a:extLst>
                        <a:ext uri="{28A0092B-C50C-407E-A947-70E740481C1C}">
                          <a14:useLocalDpi xmlns:a14="http://schemas.microsoft.com/office/drawing/2010/main" val="0"/>
                        </a:ext>
                      </a:extLst>
                    </a:blip>
                    <a:stretch>
                      <a:fillRect/>
                    </a:stretch>
                  </pic:blipFill>
                  <pic:spPr>
                    <a:xfrm>
                      <a:off x="0" y="0"/>
                      <a:ext cx="5259600" cy="3945600"/>
                    </a:xfrm>
                    <a:prstGeom prst="rect">
                      <a:avLst/>
                    </a:prstGeom>
                  </pic:spPr>
                </pic:pic>
              </a:graphicData>
            </a:graphic>
          </wp:inline>
        </w:drawing>
      </w:r>
    </w:p>
    <w:p w14:paraId="49FCDDDB" w14:textId="77777777" w:rsidR="007303B1" w:rsidRPr="00827D90" w:rsidRDefault="007303B1" w:rsidP="00D63717">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D63717">
      <w:pPr>
        <w:pStyle w:val="Heading2"/>
        <w:spacing w:before="0" w:after="120" w:line="240" w:lineRule="auto"/>
        <w:ind w:left="0"/>
      </w:pPr>
      <w:r>
        <w:t>Actions</w:t>
      </w:r>
    </w:p>
    <w:p w14:paraId="4301BF21" w14:textId="60E15624" w:rsidR="003472B9" w:rsidRPr="003472B9" w:rsidRDefault="00986414"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W</w:t>
      </w:r>
      <w:r w:rsidR="003472B9" w:rsidRPr="003472B9">
        <w:rPr>
          <w:rFonts w:ascii="Calibri" w:eastAsia="Calibri" w:hAnsi="Calibri" w:cs="Calibri"/>
          <w:color w:val="auto"/>
          <w:szCs w:val="24"/>
          <w:lang w:val="en-AU"/>
        </w:rPr>
        <w:t xml:space="preserve">here a student is identified as having some vulnerabilities that place them at risk of being removed from the classroom, </w:t>
      </w:r>
      <w:r>
        <w:rPr>
          <w:rFonts w:ascii="Calibri" w:eastAsia="Calibri" w:hAnsi="Calibri" w:cs="Calibri"/>
          <w:color w:val="auto"/>
          <w:szCs w:val="24"/>
          <w:lang w:val="en-AU"/>
        </w:rPr>
        <w:t xml:space="preserve">school staff (primarily the </w:t>
      </w:r>
      <w:r w:rsidR="003472B9" w:rsidRPr="003472B9">
        <w:rPr>
          <w:rFonts w:ascii="Calibri" w:eastAsia="Calibri" w:hAnsi="Calibri" w:cs="Calibri"/>
          <w:color w:val="auto"/>
          <w:szCs w:val="24"/>
          <w:lang w:val="en-AU"/>
        </w:rPr>
        <w:t>educator</w:t>
      </w:r>
      <w:r>
        <w:rPr>
          <w:rFonts w:ascii="Calibri" w:eastAsia="Calibri" w:hAnsi="Calibri" w:cs="Calibri"/>
          <w:color w:val="auto"/>
          <w:szCs w:val="24"/>
          <w:lang w:val="en-AU"/>
        </w:rPr>
        <w:t>)</w:t>
      </w:r>
      <w:r w:rsidR="00E96D1C">
        <w:rPr>
          <w:rFonts w:ascii="Calibri" w:eastAsia="Calibri" w:hAnsi="Calibri" w:cs="Calibri"/>
          <w:color w:val="auto"/>
          <w:szCs w:val="24"/>
          <w:lang w:val="en-AU"/>
        </w:rPr>
        <w:t xml:space="preserve"> need to</w:t>
      </w:r>
      <w:r w:rsidR="003472B9" w:rsidRPr="003472B9">
        <w:rPr>
          <w:rFonts w:ascii="Calibri" w:eastAsia="Calibri" w:hAnsi="Calibri" w:cs="Calibri"/>
          <w:color w:val="auto"/>
          <w:szCs w:val="24"/>
          <w:lang w:val="en-AU"/>
        </w:rPr>
        <w:t xml:space="preserve"> contemplate what types of support have the best chance of advancing and upholding the student as a valued member of the</w:t>
      </w:r>
      <w:r>
        <w:rPr>
          <w:rFonts w:ascii="Calibri" w:eastAsia="Calibri" w:hAnsi="Calibri" w:cs="Calibri"/>
          <w:color w:val="auto"/>
          <w:szCs w:val="24"/>
          <w:lang w:val="en-AU"/>
        </w:rPr>
        <w:t xml:space="preserve"> </w:t>
      </w:r>
      <w:r w:rsidR="009548B6">
        <w:rPr>
          <w:rFonts w:ascii="Calibri" w:eastAsia="Calibri" w:hAnsi="Calibri" w:cs="Calibri"/>
          <w:color w:val="auto"/>
          <w:szCs w:val="24"/>
          <w:lang w:val="en-AU"/>
        </w:rPr>
        <w:t xml:space="preserve">mainstream </w:t>
      </w:r>
      <w:r>
        <w:rPr>
          <w:rFonts w:ascii="Calibri" w:eastAsia="Calibri" w:hAnsi="Calibri" w:cs="Calibri"/>
          <w:color w:val="auto"/>
          <w:szCs w:val="24"/>
          <w:lang w:val="en-AU"/>
        </w:rPr>
        <w:t>class</w:t>
      </w:r>
      <w:r w:rsidR="003472B9" w:rsidRPr="003472B9">
        <w:rPr>
          <w:rFonts w:ascii="Calibri" w:eastAsia="Calibri" w:hAnsi="Calibri" w:cs="Calibri"/>
          <w:color w:val="auto"/>
          <w:szCs w:val="24"/>
          <w:lang w:val="en-AU"/>
        </w:rPr>
        <w:t>.</w:t>
      </w:r>
    </w:p>
    <w:p w14:paraId="350E368C" w14:textId="1F73D77A" w:rsidR="003472B9" w:rsidRPr="003472B9" w:rsidRDefault="009548B6"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Actions to assist with this include</w:t>
      </w:r>
      <w:r w:rsidR="003472B9" w:rsidRPr="003472B9">
        <w:rPr>
          <w:rFonts w:ascii="Calibri" w:eastAsia="Calibri" w:hAnsi="Calibri" w:cs="Calibri"/>
          <w:color w:val="auto"/>
          <w:szCs w:val="24"/>
          <w:lang w:val="en-AU"/>
        </w:rPr>
        <w:t xml:space="preserve"> the following:</w:t>
      </w:r>
    </w:p>
    <w:p w14:paraId="7D4F5F5D" w14:textId="73D57BE1" w:rsidR="003472B9" w:rsidRPr="003404B0" w:rsidRDefault="003472B9" w:rsidP="00D63717">
      <w:pPr>
        <w:pStyle w:val="Headingitalics"/>
        <w:spacing w:after="120" w:line="240" w:lineRule="auto"/>
      </w:pPr>
      <w:r w:rsidRPr="003404B0">
        <w:t xml:space="preserve">Understanding </w:t>
      </w:r>
      <w:r w:rsidR="003404B0">
        <w:t>B</w:t>
      </w:r>
      <w:r w:rsidRPr="003404B0">
        <w:t xml:space="preserve">ehaviour </w:t>
      </w:r>
    </w:p>
    <w:p w14:paraId="690A7010" w14:textId="1A54EC71"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Becoming familiar with the basics of techniques such as </w:t>
      </w:r>
      <w:r w:rsidR="00986414">
        <w:rPr>
          <w:rFonts w:ascii="Calibri" w:eastAsia="Calibri" w:hAnsi="Calibri" w:cs="Calibri"/>
          <w:color w:val="auto"/>
          <w:szCs w:val="24"/>
          <w:lang w:val="en-AU"/>
        </w:rPr>
        <w:t>ABA and</w:t>
      </w:r>
      <w:r w:rsidR="00986414">
        <w:rPr>
          <w:rFonts w:ascii="Calibri" w:eastAsia="Calibri" w:hAnsi="Calibri" w:cs="Calibri"/>
          <w:caps/>
          <w:color w:val="auto"/>
          <w:szCs w:val="24"/>
          <w:lang w:val="en-AU"/>
        </w:rPr>
        <w:t xml:space="preserve"> PBS. </w:t>
      </w:r>
      <w:r w:rsidR="009548B6">
        <w:rPr>
          <w:rFonts w:ascii="Calibri" w:eastAsia="Calibri" w:hAnsi="Calibri" w:cs="Calibri"/>
          <w:color w:val="auto"/>
          <w:szCs w:val="24"/>
          <w:lang w:val="en-AU"/>
        </w:rPr>
        <w:t>School staff do</w:t>
      </w:r>
      <w:r w:rsidRPr="003472B9">
        <w:rPr>
          <w:rFonts w:ascii="Calibri" w:eastAsia="Calibri" w:hAnsi="Calibri" w:cs="Calibri"/>
          <w:color w:val="auto"/>
          <w:szCs w:val="24"/>
          <w:lang w:val="en-AU"/>
        </w:rPr>
        <w:t xml:space="preserve"> not need to be</w:t>
      </w:r>
      <w:r w:rsidR="009548B6">
        <w:rPr>
          <w:rFonts w:ascii="Calibri" w:eastAsia="Calibri" w:hAnsi="Calibri" w:cs="Calibri"/>
          <w:color w:val="auto"/>
          <w:szCs w:val="24"/>
          <w:lang w:val="en-AU"/>
        </w:rPr>
        <w:t xml:space="preserve"> </w:t>
      </w:r>
      <w:r w:rsidRPr="003472B9">
        <w:rPr>
          <w:rFonts w:ascii="Calibri" w:eastAsia="Calibri" w:hAnsi="Calibri" w:cs="Calibri"/>
          <w:color w:val="auto"/>
          <w:szCs w:val="24"/>
          <w:lang w:val="en-AU"/>
        </w:rPr>
        <w:t>expert</w:t>
      </w:r>
      <w:r w:rsidR="009548B6">
        <w:rPr>
          <w:rFonts w:ascii="Calibri" w:eastAsia="Calibri" w:hAnsi="Calibri" w:cs="Calibri"/>
          <w:color w:val="auto"/>
          <w:szCs w:val="24"/>
          <w:lang w:val="en-AU"/>
        </w:rPr>
        <w:t>s</w:t>
      </w:r>
      <w:r w:rsidR="002E4BF9">
        <w:rPr>
          <w:rFonts w:ascii="Calibri" w:eastAsia="Calibri" w:hAnsi="Calibri" w:cs="Calibri"/>
          <w:color w:val="auto"/>
          <w:szCs w:val="24"/>
          <w:lang w:val="en-AU"/>
        </w:rPr>
        <w:t xml:space="preserve">, although some jurisdictions </w:t>
      </w:r>
      <w:r w:rsidR="009548B6">
        <w:rPr>
          <w:rFonts w:ascii="Calibri" w:eastAsia="Calibri" w:hAnsi="Calibri" w:cs="Calibri"/>
          <w:color w:val="auto"/>
          <w:szCs w:val="24"/>
          <w:lang w:val="en-AU"/>
        </w:rPr>
        <w:t>are implementing a schoolwide PBS framework</w:t>
      </w:r>
      <w:r w:rsidR="002E4BF9">
        <w:rPr>
          <w:rFonts w:ascii="Calibri" w:eastAsia="Calibri" w:hAnsi="Calibri" w:cs="Calibri"/>
          <w:color w:val="auto"/>
          <w:szCs w:val="24"/>
          <w:lang w:val="en-AU"/>
        </w:rPr>
        <w:t>; t</w:t>
      </w:r>
      <w:r w:rsidRPr="003472B9">
        <w:rPr>
          <w:rFonts w:ascii="Calibri" w:eastAsia="Calibri" w:hAnsi="Calibri" w:cs="Calibri"/>
          <w:color w:val="auto"/>
          <w:szCs w:val="24"/>
          <w:lang w:val="en-AU"/>
        </w:rPr>
        <w:t>hey just need to understand the premise, which is that all behaviour has a purpose</w:t>
      </w:r>
      <w:r w:rsidR="002E4BF9">
        <w:rPr>
          <w:rFonts w:ascii="Calibri" w:eastAsia="Calibri" w:hAnsi="Calibri" w:cs="Calibri"/>
          <w:color w:val="auto"/>
          <w:szCs w:val="24"/>
          <w:lang w:val="en-AU"/>
        </w:rPr>
        <w:t xml:space="preserve">. </w:t>
      </w:r>
      <w:r w:rsidR="002E4BF9" w:rsidRPr="002E4BF9">
        <w:rPr>
          <w:rFonts w:ascii="Calibri" w:eastAsia="Calibri" w:hAnsi="Calibri" w:cs="Calibri"/>
          <w:color w:val="auto"/>
          <w:szCs w:val="24"/>
          <w:lang w:val="en-AU"/>
        </w:rPr>
        <w:t>“Behaviours are an important form of communication.”</w:t>
      </w:r>
      <w:r w:rsidR="002E4BF9">
        <w:rPr>
          <w:rStyle w:val="FootnoteReference"/>
          <w:rFonts w:ascii="Calibri" w:eastAsia="Calibri" w:hAnsi="Calibri" w:cs="Calibri"/>
          <w:color w:val="auto"/>
          <w:szCs w:val="24"/>
          <w:lang w:val="en-AU"/>
        </w:rPr>
        <w:footnoteReference w:id="4"/>
      </w:r>
      <w:r w:rsidR="002E4BF9" w:rsidRPr="002E4BF9">
        <w:rPr>
          <w:rFonts w:ascii="Calibri" w:eastAsia="Calibri" w:hAnsi="Calibri" w:cs="Calibri"/>
          <w:color w:val="auto"/>
          <w:szCs w:val="24"/>
          <w:lang w:val="en-AU"/>
        </w:rPr>
        <w:t xml:space="preserve"> </w:t>
      </w:r>
      <w:r w:rsidR="002E4BF9">
        <w:rPr>
          <w:rFonts w:ascii="Calibri" w:eastAsia="Calibri" w:hAnsi="Calibri" w:cs="Calibri"/>
          <w:color w:val="auto"/>
          <w:szCs w:val="24"/>
          <w:lang w:val="en-AU"/>
        </w:rPr>
        <w:t xml:space="preserve">If </w:t>
      </w:r>
      <w:r w:rsidRPr="003472B9">
        <w:rPr>
          <w:rFonts w:ascii="Calibri" w:eastAsia="Calibri" w:hAnsi="Calibri" w:cs="Calibri"/>
          <w:color w:val="auto"/>
          <w:szCs w:val="24"/>
          <w:lang w:val="en-AU"/>
        </w:rPr>
        <w:t>we can understand t</w:t>
      </w:r>
      <w:r w:rsidR="002E4BF9">
        <w:rPr>
          <w:rFonts w:ascii="Calibri" w:eastAsia="Calibri" w:hAnsi="Calibri" w:cs="Calibri"/>
          <w:color w:val="auto"/>
          <w:szCs w:val="24"/>
          <w:lang w:val="en-AU"/>
        </w:rPr>
        <w:t>he</w:t>
      </w:r>
      <w:r w:rsidRPr="003472B9">
        <w:rPr>
          <w:rFonts w:ascii="Calibri" w:eastAsia="Calibri" w:hAnsi="Calibri" w:cs="Calibri"/>
          <w:color w:val="auto"/>
          <w:szCs w:val="24"/>
          <w:lang w:val="en-AU"/>
        </w:rPr>
        <w:t xml:space="preserve"> purpose</w:t>
      </w:r>
      <w:r w:rsidR="002E4BF9">
        <w:rPr>
          <w:rFonts w:ascii="Calibri" w:eastAsia="Calibri" w:hAnsi="Calibri" w:cs="Calibri"/>
          <w:color w:val="auto"/>
          <w:szCs w:val="24"/>
          <w:lang w:val="en-AU"/>
        </w:rPr>
        <w:t xml:space="preserve"> of the behaviour</w:t>
      </w:r>
      <w:r w:rsidR="009548B6">
        <w:rPr>
          <w:rFonts w:ascii="Calibri" w:eastAsia="Calibri" w:hAnsi="Calibri" w:cs="Calibri"/>
          <w:color w:val="auto"/>
          <w:szCs w:val="24"/>
          <w:lang w:val="en-AU"/>
        </w:rPr>
        <w:t xml:space="preserve"> to meet a need</w:t>
      </w:r>
      <w:r w:rsidRPr="003472B9">
        <w:rPr>
          <w:rFonts w:ascii="Calibri" w:eastAsia="Calibri" w:hAnsi="Calibri" w:cs="Calibri"/>
          <w:color w:val="auto"/>
          <w:szCs w:val="24"/>
          <w:lang w:val="en-AU"/>
        </w:rPr>
        <w:t xml:space="preserve">, we can </w:t>
      </w:r>
      <w:r w:rsidR="00765A89">
        <w:rPr>
          <w:rFonts w:ascii="Calibri" w:eastAsia="Calibri" w:hAnsi="Calibri" w:cs="Calibri"/>
          <w:color w:val="auto"/>
          <w:szCs w:val="24"/>
          <w:lang w:val="en-AU"/>
        </w:rPr>
        <w:t>identify</w:t>
      </w:r>
      <w:r w:rsidRPr="003472B9">
        <w:rPr>
          <w:rFonts w:ascii="Calibri" w:eastAsia="Calibri" w:hAnsi="Calibri" w:cs="Calibri"/>
          <w:color w:val="auto"/>
          <w:szCs w:val="24"/>
          <w:lang w:val="en-AU"/>
        </w:rPr>
        <w:t xml:space="preserve"> other ways th</w:t>
      </w:r>
      <w:r w:rsidR="00765A89">
        <w:rPr>
          <w:rFonts w:ascii="Calibri" w:eastAsia="Calibri" w:hAnsi="Calibri" w:cs="Calibri"/>
          <w:color w:val="auto"/>
          <w:szCs w:val="24"/>
          <w:lang w:val="en-AU"/>
        </w:rPr>
        <w:t xml:space="preserve">e student’s </w:t>
      </w:r>
      <w:r w:rsidRPr="003472B9">
        <w:rPr>
          <w:rFonts w:ascii="Calibri" w:eastAsia="Calibri" w:hAnsi="Calibri" w:cs="Calibri"/>
          <w:color w:val="auto"/>
          <w:szCs w:val="24"/>
          <w:lang w:val="en-AU"/>
        </w:rPr>
        <w:t>need might be met</w:t>
      </w:r>
      <w:r w:rsidR="009548B6">
        <w:rPr>
          <w:rFonts w:ascii="Calibri" w:eastAsia="Calibri" w:hAnsi="Calibri" w:cs="Calibri"/>
          <w:color w:val="auto"/>
          <w:szCs w:val="24"/>
          <w:lang w:val="en-AU"/>
        </w:rPr>
        <w:t>, which can</w:t>
      </w:r>
      <w:r w:rsidRPr="003472B9">
        <w:rPr>
          <w:rFonts w:ascii="Calibri" w:eastAsia="Calibri" w:hAnsi="Calibri" w:cs="Calibri"/>
          <w:color w:val="auto"/>
          <w:szCs w:val="24"/>
          <w:lang w:val="en-AU"/>
        </w:rPr>
        <w:t xml:space="preserve"> safeguard </w:t>
      </w:r>
      <w:r w:rsidR="00765A89">
        <w:rPr>
          <w:rFonts w:ascii="Calibri" w:eastAsia="Calibri" w:hAnsi="Calibri" w:cs="Calibri"/>
          <w:color w:val="auto"/>
          <w:szCs w:val="24"/>
          <w:lang w:val="en-AU"/>
        </w:rPr>
        <w:t>her/his</w:t>
      </w:r>
      <w:r w:rsidRPr="003472B9">
        <w:rPr>
          <w:rFonts w:ascii="Calibri" w:eastAsia="Calibri" w:hAnsi="Calibri" w:cs="Calibri"/>
          <w:color w:val="auto"/>
          <w:szCs w:val="24"/>
          <w:lang w:val="en-AU"/>
        </w:rPr>
        <w:t xml:space="preserve"> </w:t>
      </w:r>
      <w:r w:rsidR="00765A89">
        <w:rPr>
          <w:rFonts w:ascii="Calibri" w:eastAsia="Calibri" w:hAnsi="Calibri" w:cs="Calibri"/>
          <w:color w:val="auto"/>
          <w:szCs w:val="24"/>
          <w:lang w:val="en-AU"/>
        </w:rPr>
        <w:t xml:space="preserve">valued </w:t>
      </w:r>
      <w:r w:rsidRPr="003472B9">
        <w:rPr>
          <w:rFonts w:ascii="Calibri" w:eastAsia="Calibri" w:hAnsi="Calibri" w:cs="Calibri"/>
          <w:color w:val="auto"/>
          <w:szCs w:val="24"/>
          <w:lang w:val="en-AU"/>
        </w:rPr>
        <w:t xml:space="preserve">membership </w:t>
      </w:r>
      <w:r w:rsidR="00765A89">
        <w:rPr>
          <w:rFonts w:ascii="Calibri" w:eastAsia="Calibri" w:hAnsi="Calibri" w:cs="Calibri"/>
          <w:color w:val="auto"/>
          <w:szCs w:val="24"/>
          <w:lang w:val="en-AU"/>
        </w:rPr>
        <w:t xml:space="preserve">in </w:t>
      </w:r>
      <w:r w:rsidRPr="003472B9">
        <w:rPr>
          <w:rFonts w:ascii="Calibri" w:eastAsia="Calibri" w:hAnsi="Calibri" w:cs="Calibri"/>
          <w:color w:val="auto"/>
          <w:szCs w:val="24"/>
          <w:lang w:val="en-AU"/>
        </w:rPr>
        <w:t>the class.</w:t>
      </w:r>
      <w:r w:rsidR="00765A89">
        <w:rPr>
          <w:rFonts w:ascii="Calibri" w:eastAsia="Calibri" w:hAnsi="Calibri" w:cs="Calibri"/>
          <w:color w:val="auto"/>
          <w:szCs w:val="24"/>
          <w:lang w:val="en-AU"/>
        </w:rPr>
        <w:t xml:space="preserve"> School staff need to be cognizant that “</w:t>
      </w:r>
      <w:r w:rsidR="00765A89" w:rsidRPr="00765A89">
        <w:rPr>
          <w:rFonts w:ascii="Calibri" w:eastAsia="Calibri" w:hAnsi="Calibri" w:cs="Calibri"/>
          <w:color w:val="auto"/>
          <w:szCs w:val="24"/>
          <w:lang w:val="en-AU"/>
        </w:rPr>
        <w:t>Without effective and functional methods of communication, concerning behaviour may increase in frequency, duration and intensity as students struggle to communicate their needs.</w:t>
      </w:r>
      <w:r w:rsidR="00765A89">
        <w:rPr>
          <w:rFonts w:ascii="Calibri" w:eastAsia="Calibri" w:hAnsi="Calibri" w:cs="Calibri"/>
          <w:color w:val="auto"/>
          <w:szCs w:val="24"/>
          <w:lang w:val="en-AU"/>
        </w:rPr>
        <w:t>”</w:t>
      </w:r>
      <w:r w:rsidR="00765A89">
        <w:rPr>
          <w:rStyle w:val="FootnoteReference"/>
          <w:rFonts w:ascii="Calibri" w:eastAsia="Calibri" w:hAnsi="Calibri" w:cs="Calibri"/>
          <w:color w:val="auto"/>
          <w:szCs w:val="24"/>
          <w:lang w:val="en-AU"/>
        </w:rPr>
        <w:footnoteReference w:id="5"/>
      </w:r>
    </w:p>
    <w:p w14:paraId="507A0AA0" w14:textId="2F43C23B" w:rsidR="003472B9" w:rsidRPr="003404B0" w:rsidRDefault="003472B9" w:rsidP="00D63717">
      <w:pPr>
        <w:pStyle w:val="Headingitalics"/>
        <w:spacing w:after="120" w:line="240" w:lineRule="auto"/>
      </w:pPr>
      <w:r w:rsidRPr="003404B0">
        <w:lastRenderedPageBreak/>
        <w:t xml:space="preserve">Getting </w:t>
      </w:r>
      <w:r w:rsidR="003404B0">
        <w:t>t</w:t>
      </w:r>
      <w:r w:rsidR="003404B0" w:rsidRPr="003404B0">
        <w:t xml:space="preserve">o Know </w:t>
      </w:r>
      <w:r w:rsidR="003404B0">
        <w:t>t</w:t>
      </w:r>
      <w:r w:rsidR="003404B0" w:rsidRPr="003404B0">
        <w:t>he Student Beyond Their Apparent Vulnerability</w:t>
      </w:r>
    </w:p>
    <w:p w14:paraId="7E36F24E" w14:textId="309AC65C" w:rsidR="00765A8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 xml:space="preserve">This might seem obvious, but it is not uncommon for a person to be defined by </w:t>
      </w:r>
      <w:r w:rsidR="002172F0">
        <w:rPr>
          <w:rFonts w:ascii="Calibri" w:eastAsia="Calibri" w:hAnsi="Calibri" w:cs="Calibri"/>
          <w:color w:val="auto"/>
          <w:szCs w:val="24"/>
          <w:lang w:val="en-AU"/>
        </w:rPr>
        <w:t xml:space="preserve">a </w:t>
      </w:r>
      <w:r w:rsidR="002172F0" w:rsidRPr="003472B9">
        <w:rPr>
          <w:rFonts w:ascii="Calibri" w:eastAsia="Calibri" w:hAnsi="Calibri" w:cs="Calibri"/>
          <w:color w:val="auto"/>
          <w:szCs w:val="24"/>
          <w:lang w:val="en-AU"/>
        </w:rPr>
        <w:t>characteristic</w:t>
      </w:r>
      <w:r w:rsidR="009548B6">
        <w:rPr>
          <w:rFonts w:ascii="Calibri" w:eastAsia="Calibri" w:hAnsi="Calibri" w:cs="Calibri"/>
          <w:color w:val="auto"/>
          <w:szCs w:val="24"/>
          <w:lang w:val="en-AU"/>
        </w:rPr>
        <w:t xml:space="preserve"> such as disability</w:t>
      </w:r>
      <w:r w:rsidRPr="003472B9">
        <w:rPr>
          <w:rFonts w:ascii="Calibri" w:eastAsia="Calibri" w:hAnsi="Calibri" w:cs="Calibri"/>
          <w:color w:val="auto"/>
          <w:szCs w:val="24"/>
          <w:lang w:val="en-AU"/>
        </w:rPr>
        <w:t xml:space="preserve">; this has been the basis for traditional segregation and discrimination. Even when done benignly, it can result in a person being unknown to </w:t>
      </w:r>
      <w:r w:rsidR="002172F0">
        <w:rPr>
          <w:rFonts w:ascii="Calibri" w:eastAsia="Calibri" w:hAnsi="Calibri" w:cs="Calibri"/>
          <w:color w:val="auto"/>
          <w:szCs w:val="24"/>
          <w:lang w:val="en-AU"/>
        </w:rPr>
        <w:t>those</w:t>
      </w:r>
      <w:r w:rsidRPr="003472B9">
        <w:rPr>
          <w:rFonts w:ascii="Calibri" w:eastAsia="Calibri" w:hAnsi="Calibri" w:cs="Calibri"/>
          <w:color w:val="auto"/>
          <w:szCs w:val="24"/>
          <w:lang w:val="en-AU"/>
        </w:rPr>
        <w:t xml:space="preserve"> around </w:t>
      </w:r>
      <w:r w:rsidR="00982A89" w:rsidRPr="003472B9">
        <w:rPr>
          <w:rFonts w:ascii="Calibri" w:eastAsia="Calibri" w:hAnsi="Calibri" w:cs="Calibri"/>
          <w:color w:val="auto"/>
          <w:szCs w:val="24"/>
          <w:lang w:val="en-AU"/>
        </w:rPr>
        <w:t>them and</w:t>
      </w:r>
      <w:r w:rsidRPr="003472B9">
        <w:rPr>
          <w:rFonts w:ascii="Calibri" w:eastAsia="Calibri" w:hAnsi="Calibri" w:cs="Calibri"/>
          <w:color w:val="auto"/>
          <w:szCs w:val="24"/>
          <w:lang w:val="en-AU"/>
        </w:rPr>
        <w:t xml:space="preserve"> being the subject of stereotypi</w:t>
      </w:r>
      <w:r w:rsidR="009548B6">
        <w:rPr>
          <w:rFonts w:ascii="Calibri" w:eastAsia="Calibri" w:hAnsi="Calibri" w:cs="Calibri"/>
          <w:color w:val="auto"/>
          <w:szCs w:val="24"/>
          <w:lang w:val="en-AU"/>
        </w:rPr>
        <w:t xml:space="preserve">ng </w:t>
      </w:r>
      <w:r w:rsidRPr="003472B9">
        <w:rPr>
          <w:rFonts w:ascii="Calibri" w:eastAsia="Calibri" w:hAnsi="Calibri" w:cs="Calibri"/>
          <w:color w:val="auto"/>
          <w:szCs w:val="24"/>
          <w:lang w:val="en-AU"/>
        </w:rPr>
        <w:t>b</w:t>
      </w:r>
      <w:r w:rsidR="009548B6">
        <w:rPr>
          <w:rFonts w:ascii="Calibri" w:eastAsia="Calibri" w:hAnsi="Calibri" w:cs="Calibri"/>
          <w:color w:val="auto"/>
          <w:szCs w:val="24"/>
          <w:lang w:val="en-AU"/>
        </w:rPr>
        <w:t>ased on</w:t>
      </w:r>
      <w:r w:rsidRPr="003472B9">
        <w:rPr>
          <w:rFonts w:ascii="Calibri" w:eastAsia="Calibri" w:hAnsi="Calibri" w:cs="Calibri"/>
          <w:color w:val="auto"/>
          <w:szCs w:val="24"/>
          <w:lang w:val="en-AU"/>
        </w:rPr>
        <w:t xml:space="preserve"> </w:t>
      </w:r>
      <w:r w:rsidR="002172F0">
        <w:rPr>
          <w:rFonts w:ascii="Calibri" w:eastAsia="Calibri" w:hAnsi="Calibri" w:cs="Calibri"/>
          <w:color w:val="auto"/>
          <w:szCs w:val="24"/>
          <w:lang w:val="en-AU"/>
        </w:rPr>
        <w:t xml:space="preserve">a single </w:t>
      </w:r>
      <w:r w:rsidRPr="003472B9">
        <w:rPr>
          <w:rFonts w:ascii="Calibri" w:eastAsia="Calibri" w:hAnsi="Calibri" w:cs="Calibri"/>
          <w:color w:val="auto"/>
          <w:szCs w:val="24"/>
          <w:lang w:val="en-AU"/>
        </w:rPr>
        <w:t xml:space="preserve">characteristic. </w:t>
      </w:r>
      <w:r w:rsidR="00765A89">
        <w:rPr>
          <w:rFonts w:ascii="Calibri" w:eastAsia="Calibri" w:hAnsi="Calibri" w:cs="Calibri"/>
          <w:color w:val="auto"/>
          <w:szCs w:val="24"/>
          <w:lang w:val="en-AU"/>
        </w:rPr>
        <w:t>K</w:t>
      </w:r>
      <w:r w:rsidRPr="003472B9">
        <w:rPr>
          <w:rFonts w:ascii="Calibri" w:eastAsia="Calibri" w:hAnsi="Calibri" w:cs="Calibri"/>
          <w:color w:val="auto"/>
          <w:szCs w:val="24"/>
          <w:lang w:val="en-AU"/>
        </w:rPr>
        <w:t>ey question</w:t>
      </w:r>
      <w:r w:rsidR="00765A89">
        <w:rPr>
          <w:rFonts w:ascii="Calibri" w:eastAsia="Calibri" w:hAnsi="Calibri" w:cs="Calibri"/>
          <w:color w:val="auto"/>
          <w:szCs w:val="24"/>
          <w:lang w:val="en-AU"/>
        </w:rPr>
        <w:t>s</w:t>
      </w:r>
      <w:r w:rsidRPr="003472B9">
        <w:rPr>
          <w:rFonts w:ascii="Calibri" w:eastAsia="Calibri" w:hAnsi="Calibri" w:cs="Calibri"/>
          <w:color w:val="auto"/>
          <w:szCs w:val="24"/>
          <w:lang w:val="en-AU"/>
        </w:rPr>
        <w:t xml:space="preserve"> for</w:t>
      </w:r>
      <w:r w:rsidR="002172F0">
        <w:rPr>
          <w:rFonts w:ascii="Calibri" w:eastAsia="Calibri" w:hAnsi="Calibri" w:cs="Calibri"/>
          <w:color w:val="auto"/>
          <w:szCs w:val="24"/>
          <w:lang w:val="en-AU"/>
        </w:rPr>
        <w:t xml:space="preserve"> school staff to reflect on knowing the student beyond perceived vulnerabilities include</w:t>
      </w:r>
      <w:r w:rsidRPr="003472B9">
        <w:rPr>
          <w:rFonts w:ascii="Calibri" w:eastAsia="Calibri" w:hAnsi="Calibri" w:cs="Calibri"/>
          <w:color w:val="auto"/>
          <w:szCs w:val="24"/>
          <w:lang w:val="en-AU"/>
        </w:rPr>
        <w:t xml:space="preserve">: </w:t>
      </w:r>
    </w:p>
    <w:p w14:paraId="0F2820A8" w14:textId="77777777" w:rsidR="00765A89" w:rsidRPr="00765A89" w:rsidRDefault="003472B9" w:rsidP="00D63717">
      <w:pPr>
        <w:pStyle w:val="ListParagraph"/>
        <w:numPr>
          <w:ilvl w:val="0"/>
          <w:numId w:val="18"/>
        </w:numPr>
        <w:spacing w:after="120" w:line="240" w:lineRule="auto"/>
        <w:ind w:right="0"/>
        <w:rPr>
          <w:rFonts w:ascii="Calibri" w:eastAsia="Calibri" w:hAnsi="Calibri" w:cs="Calibri"/>
          <w:color w:val="auto"/>
          <w:szCs w:val="24"/>
          <w:lang w:val="en-AU"/>
        </w:rPr>
      </w:pPr>
      <w:r w:rsidRPr="00765A89">
        <w:rPr>
          <w:rFonts w:ascii="Calibri" w:eastAsia="Calibri" w:hAnsi="Calibri" w:cs="Calibri"/>
          <w:color w:val="auto"/>
          <w:szCs w:val="24"/>
          <w:lang w:val="en-AU"/>
        </w:rPr>
        <w:t>What do I know about this student’s strengths and gifts</w:t>
      </w:r>
      <w:r w:rsidR="00765A89" w:rsidRPr="00765A89">
        <w:rPr>
          <w:rFonts w:ascii="Calibri" w:eastAsia="Calibri" w:hAnsi="Calibri" w:cs="Calibri"/>
          <w:color w:val="auto"/>
          <w:szCs w:val="24"/>
          <w:lang w:val="en-AU"/>
        </w:rPr>
        <w:t>?</w:t>
      </w:r>
    </w:p>
    <w:p w14:paraId="74F67CC8" w14:textId="1856F9F5" w:rsidR="003472B9" w:rsidRPr="00765A89" w:rsidRDefault="00765A89" w:rsidP="00D63717">
      <w:pPr>
        <w:pStyle w:val="ListParagraph"/>
        <w:numPr>
          <w:ilvl w:val="0"/>
          <w:numId w:val="18"/>
        </w:numPr>
        <w:spacing w:after="120" w:line="240" w:lineRule="auto"/>
        <w:ind w:right="0"/>
        <w:rPr>
          <w:rFonts w:ascii="Calibri" w:eastAsia="Calibri" w:hAnsi="Calibri" w:cs="Calibri"/>
          <w:color w:val="auto"/>
          <w:szCs w:val="24"/>
          <w:lang w:val="en-AU"/>
        </w:rPr>
      </w:pPr>
      <w:r w:rsidRPr="00765A89">
        <w:rPr>
          <w:rFonts w:ascii="Calibri" w:eastAsia="Calibri" w:hAnsi="Calibri" w:cs="Calibri"/>
          <w:color w:val="auto"/>
          <w:szCs w:val="24"/>
          <w:lang w:val="en-AU"/>
        </w:rPr>
        <w:t>H</w:t>
      </w:r>
      <w:r w:rsidR="003472B9" w:rsidRPr="00765A89">
        <w:rPr>
          <w:rFonts w:ascii="Calibri" w:eastAsia="Calibri" w:hAnsi="Calibri" w:cs="Calibri"/>
          <w:color w:val="auto"/>
          <w:szCs w:val="24"/>
          <w:lang w:val="en-AU"/>
        </w:rPr>
        <w:t>ow can I discover th</w:t>
      </w:r>
      <w:r w:rsidRPr="00765A89">
        <w:rPr>
          <w:rFonts w:ascii="Calibri" w:eastAsia="Calibri" w:hAnsi="Calibri" w:cs="Calibri"/>
          <w:color w:val="auto"/>
          <w:szCs w:val="24"/>
          <w:lang w:val="en-AU"/>
        </w:rPr>
        <w:t>is student’s strengths and gifts</w:t>
      </w:r>
      <w:r w:rsidR="003472B9" w:rsidRPr="00765A89">
        <w:rPr>
          <w:rFonts w:ascii="Calibri" w:eastAsia="Calibri" w:hAnsi="Calibri" w:cs="Calibri"/>
          <w:color w:val="auto"/>
          <w:szCs w:val="24"/>
          <w:lang w:val="en-AU"/>
        </w:rPr>
        <w:t xml:space="preserve"> further, and make sure they are revealed to others?</w:t>
      </w:r>
    </w:p>
    <w:p w14:paraId="2F1DEAA3" w14:textId="1DED8A95" w:rsidR="003472B9" w:rsidRPr="00FB3BBA" w:rsidRDefault="002172F0" w:rsidP="00D63717">
      <w:pPr>
        <w:pStyle w:val="Headingitalics"/>
        <w:spacing w:after="120" w:line="240" w:lineRule="auto"/>
      </w:pPr>
      <w:r w:rsidRPr="00FB3BBA">
        <w:t>Reviewing</w:t>
      </w:r>
      <w:r w:rsidR="003472B9" w:rsidRPr="00FB3BBA">
        <w:t xml:space="preserve"> </w:t>
      </w:r>
      <w:r w:rsidR="003404B0" w:rsidRPr="00FB3BBA">
        <w:t xml:space="preserve">Proposed Measures Before They </w:t>
      </w:r>
      <w:r w:rsidR="003404B0">
        <w:t>a</w:t>
      </w:r>
      <w:r w:rsidR="003404B0" w:rsidRPr="00FB3BBA">
        <w:t>re Implemented</w:t>
      </w:r>
    </w:p>
    <w:p w14:paraId="29BF2AEF" w14:textId="7EAD7131" w:rsidR="003472B9" w:rsidRPr="003472B9" w:rsidRDefault="003472B9" w:rsidP="00D63717">
      <w:pPr>
        <w:spacing w:after="120" w:line="240" w:lineRule="auto"/>
        <w:ind w:left="0" w:right="0" w:firstLine="0"/>
        <w:rPr>
          <w:rFonts w:ascii="Calibri" w:eastAsia="Calibri" w:hAnsi="Calibri" w:cs="Calibri"/>
          <w:color w:val="auto"/>
          <w:szCs w:val="24"/>
          <w:lang w:val="en-AU"/>
        </w:rPr>
      </w:pPr>
      <w:r w:rsidRPr="003472B9">
        <w:rPr>
          <w:rFonts w:ascii="Calibri" w:eastAsia="Calibri" w:hAnsi="Calibri" w:cs="Calibri"/>
          <w:color w:val="auto"/>
          <w:szCs w:val="24"/>
          <w:lang w:val="en-AU"/>
        </w:rPr>
        <w:t>Where an educator</w:t>
      </w:r>
      <w:r w:rsidR="002172F0">
        <w:rPr>
          <w:rFonts w:ascii="Calibri" w:eastAsia="Calibri" w:hAnsi="Calibri" w:cs="Calibri"/>
          <w:color w:val="auto"/>
          <w:szCs w:val="24"/>
          <w:lang w:val="en-AU"/>
        </w:rPr>
        <w:t xml:space="preserve"> or another other staff member</w:t>
      </w:r>
      <w:r w:rsidRPr="003472B9">
        <w:rPr>
          <w:rFonts w:ascii="Calibri" w:eastAsia="Calibri" w:hAnsi="Calibri" w:cs="Calibri"/>
          <w:color w:val="auto"/>
          <w:szCs w:val="24"/>
          <w:lang w:val="en-AU"/>
        </w:rPr>
        <w:t xml:space="preserve"> develops a </w:t>
      </w:r>
      <w:r w:rsidR="001B509B" w:rsidRPr="003472B9">
        <w:rPr>
          <w:rFonts w:ascii="Calibri" w:eastAsia="Calibri" w:hAnsi="Calibri" w:cs="Calibri"/>
          <w:color w:val="auto"/>
          <w:szCs w:val="24"/>
          <w:lang w:val="en-AU"/>
        </w:rPr>
        <w:t>plan,</w:t>
      </w:r>
      <w:r w:rsidRPr="003472B9">
        <w:rPr>
          <w:rFonts w:ascii="Calibri" w:eastAsia="Calibri" w:hAnsi="Calibri" w:cs="Calibri"/>
          <w:color w:val="auto"/>
          <w:szCs w:val="24"/>
          <w:lang w:val="en-AU"/>
        </w:rPr>
        <w:t xml:space="preserve"> </w:t>
      </w:r>
      <w:r w:rsidR="001B509B">
        <w:rPr>
          <w:rFonts w:ascii="Calibri" w:eastAsia="Calibri" w:hAnsi="Calibri" w:cs="Calibri"/>
          <w:color w:val="auto"/>
          <w:szCs w:val="24"/>
          <w:lang w:val="en-AU"/>
        </w:rPr>
        <w:t xml:space="preserve">involving measures </w:t>
      </w:r>
      <w:r w:rsidRPr="003472B9">
        <w:rPr>
          <w:rFonts w:ascii="Calibri" w:eastAsia="Calibri" w:hAnsi="Calibri" w:cs="Calibri"/>
          <w:color w:val="auto"/>
          <w:szCs w:val="24"/>
          <w:lang w:val="en-AU"/>
        </w:rPr>
        <w:t xml:space="preserve">to respond to a student’s vulnerability or behaviours of concern, it </w:t>
      </w:r>
      <w:r w:rsidR="002172F0">
        <w:rPr>
          <w:rFonts w:ascii="Calibri" w:eastAsia="Calibri" w:hAnsi="Calibri" w:cs="Calibri"/>
          <w:color w:val="auto"/>
          <w:szCs w:val="24"/>
          <w:lang w:val="en-AU"/>
        </w:rPr>
        <w:t>is</w:t>
      </w:r>
      <w:r w:rsidRPr="003472B9">
        <w:rPr>
          <w:rFonts w:ascii="Calibri" w:eastAsia="Calibri" w:hAnsi="Calibri" w:cs="Calibri"/>
          <w:color w:val="auto"/>
          <w:szCs w:val="24"/>
          <w:lang w:val="en-AU"/>
        </w:rPr>
        <w:t xml:space="preserve"> helpful to </w:t>
      </w:r>
      <w:r w:rsidR="002172F0">
        <w:rPr>
          <w:rFonts w:ascii="Calibri" w:eastAsia="Calibri" w:hAnsi="Calibri" w:cs="Calibri"/>
          <w:color w:val="auto"/>
          <w:szCs w:val="24"/>
          <w:lang w:val="en-AU"/>
        </w:rPr>
        <w:t xml:space="preserve">review </w:t>
      </w:r>
      <w:r w:rsidRPr="003472B9">
        <w:rPr>
          <w:rFonts w:ascii="Calibri" w:eastAsia="Calibri" w:hAnsi="Calibri" w:cs="Calibri"/>
          <w:color w:val="auto"/>
          <w:szCs w:val="24"/>
          <w:lang w:val="en-AU"/>
        </w:rPr>
        <w:t>the plan against the following questions:</w:t>
      </w:r>
    </w:p>
    <w:p w14:paraId="25DEE3C0" w14:textId="627F54AC" w:rsidR="003472B9" w:rsidRPr="00FB3BBA" w:rsidRDefault="003472B9" w:rsidP="00D63717">
      <w:pPr>
        <w:pStyle w:val="ListParagraph"/>
        <w:numPr>
          <w:ilvl w:val="0"/>
          <w:numId w:val="17"/>
        </w:numPr>
        <w:spacing w:after="120" w:line="240" w:lineRule="auto"/>
        <w:ind w:right="0"/>
        <w:rPr>
          <w:rFonts w:ascii="Calibri" w:eastAsia="Calibri" w:hAnsi="Calibri" w:cs="Calibri"/>
          <w:color w:val="auto"/>
          <w:szCs w:val="24"/>
          <w:lang w:val="en-AU"/>
        </w:rPr>
      </w:pPr>
      <w:r w:rsidRPr="00FB3BBA">
        <w:rPr>
          <w:rFonts w:ascii="Calibri" w:eastAsia="Calibri" w:hAnsi="Calibri" w:cs="Calibri"/>
          <w:color w:val="auto"/>
          <w:szCs w:val="24"/>
          <w:lang w:val="en-AU"/>
        </w:rPr>
        <w:t>Will this measure make it more likely the student can stay within the mainstream classroom?</w:t>
      </w:r>
    </w:p>
    <w:p w14:paraId="72D3F6D1" w14:textId="65EE44D8" w:rsidR="003472B9" w:rsidRPr="00FB3BBA" w:rsidRDefault="003472B9" w:rsidP="00D63717">
      <w:pPr>
        <w:pStyle w:val="ListParagraph"/>
        <w:numPr>
          <w:ilvl w:val="0"/>
          <w:numId w:val="17"/>
        </w:numPr>
        <w:spacing w:after="120" w:line="240" w:lineRule="auto"/>
        <w:ind w:right="0"/>
        <w:rPr>
          <w:rFonts w:ascii="Calibri" w:eastAsia="Calibri" w:hAnsi="Calibri" w:cs="Calibri"/>
          <w:color w:val="auto"/>
          <w:szCs w:val="24"/>
          <w:lang w:val="en-AU"/>
        </w:rPr>
      </w:pPr>
      <w:r w:rsidRPr="00FB3BBA">
        <w:rPr>
          <w:rFonts w:ascii="Calibri" w:eastAsia="Calibri" w:hAnsi="Calibri" w:cs="Calibri"/>
          <w:color w:val="auto"/>
          <w:szCs w:val="24"/>
          <w:lang w:val="en-AU"/>
        </w:rPr>
        <w:t>Will this measure make it more likely the student will be seen in valued ways by their fellow students and other members of the school community?</w:t>
      </w:r>
    </w:p>
    <w:p w14:paraId="3C1162F1" w14:textId="1CF1C942" w:rsidR="003472B9" w:rsidRPr="00FB3BBA" w:rsidRDefault="003472B9" w:rsidP="00D63717">
      <w:pPr>
        <w:pStyle w:val="ListParagraph"/>
        <w:numPr>
          <w:ilvl w:val="0"/>
          <w:numId w:val="17"/>
        </w:numPr>
        <w:spacing w:after="120" w:line="240" w:lineRule="auto"/>
        <w:ind w:right="0"/>
        <w:rPr>
          <w:rFonts w:ascii="Calibri" w:eastAsia="Calibri" w:hAnsi="Calibri" w:cs="Calibri"/>
          <w:color w:val="auto"/>
          <w:szCs w:val="24"/>
          <w:lang w:val="en-AU"/>
        </w:rPr>
      </w:pPr>
      <w:r w:rsidRPr="00FB3BBA">
        <w:rPr>
          <w:rFonts w:ascii="Calibri" w:eastAsia="Calibri" w:hAnsi="Calibri" w:cs="Calibri"/>
          <w:color w:val="auto"/>
          <w:szCs w:val="24"/>
          <w:lang w:val="en-AU"/>
        </w:rPr>
        <w:t>Will this measure make it more likely that the student can learn and grow in the mainstream setting?</w:t>
      </w:r>
    </w:p>
    <w:p w14:paraId="44B8CA63" w14:textId="2F6E5398" w:rsidR="003472B9" w:rsidRDefault="002172F0" w:rsidP="00D63717">
      <w:pPr>
        <w:spacing w:after="120" w:line="240" w:lineRule="auto"/>
        <w:ind w:left="0" w:right="0" w:firstLine="0"/>
      </w:pPr>
      <w:r>
        <w:rPr>
          <w:rFonts w:ascii="Calibri" w:eastAsia="Calibri" w:hAnsi="Calibri" w:cs="Calibri"/>
          <w:color w:val="auto"/>
          <w:szCs w:val="24"/>
          <w:lang w:val="en-AU"/>
        </w:rPr>
        <w:t xml:space="preserve">A </w:t>
      </w:r>
      <w:r w:rsidR="001B509B">
        <w:rPr>
          <w:rFonts w:ascii="Calibri" w:eastAsia="Calibri" w:hAnsi="Calibri" w:cs="Calibri"/>
          <w:color w:val="auto"/>
          <w:szCs w:val="24"/>
          <w:lang w:val="en-AU"/>
        </w:rPr>
        <w:t xml:space="preserve">good </w:t>
      </w:r>
      <w:r w:rsidR="003472B9" w:rsidRPr="003472B9">
        <w:rPr>
          <w:rFonts w:ascii="Calibri" w:eastAsia="Calibri" w:hAnsi="Calibri" w:cs="Calibri"/>
          <w:color w:val="auto"/>
          <w:szCs w:val="24"/>
          <w:lang w:val="en-AU"/>
        </w:rPr>
        <w:t>plan</w:t>
      </w:r>
      <w:r w:rsidR="001B509B">
        <w:rPr>
          <w:rFonts w:ascii="Calibri" w:eastAsia="Calibri" w:hAnsi="Calibri" w:cs="Calibri"/>
          <w:color w:val="auto"/>
          <w:szCs w:val="24"/>
          <w:lang w:val="en-AU"/>
        </w:rPr>
        <w:t>,</w:t>
      </w:r>
      <w:r>
        <w:rPr>
          <w:rFonts w:ascii="Calibri" w:eastAsia="Calibri" w:hAnsi="Calibri" w:cs="Calibri"/>
          <w:color w:val="auto"/>
          <w:szCs w:val="24"/>
          <w:lang w:val="en-AU"/>
        </w:rPr>
        <w:t xml:space="preserve"> th</w:t>
      </w:r>
      <w:r w:rsidR="001B509B">
        <w:rPr>
          <w:rFonts w:ascii="Calibri" w:eastAsia="Calibri" w:hAnsi="Calibri" w:cs="Calibri"/>
          <w:color w:val="auto"/>
          <w:szCs w:val="24"/>
          <w:lang w:val="en-AU"/>
        </w:rPr>
        <w:t xml:space="preserve">at is </w:t>
      </w:r>
      <w:r>
        <w:rPr>
          <w:rFonts w:ascii="Calibri" w:eastAsia="Calibri" w:hAnsi="Calibri" w:cs="Calibri"/>
          <w:color w:val="auto"/>
          <w:szCs w:val="24"/>
          <w:lang w:val="en-AU"/>
        </w:rPr>
        <w:t xml:space="preserve">likely to produce a positive outcome </w:t>
      </w:r>
      <w:r w:rsidR="001B509B">
        <w:rPr>
          <w:rFonts w:ascii="Calibri" w:eastAsia="Calibri" w:hAnsi="Calibri" w:cs="Calibri"/>
          <w:color w:val="auto"/>
          <w:szCs w:val="24"/>
          <w:lang w:val="en-AU"/>
        </w:rPr>
        <w:t xml:space="preserve">for the student, </w:t>
      </w:r>
      <w:r>
        <w:rPr>
          <w:rFonts w:ascii="Calibri" w:eastAsia="Calibri" w:hAnsi="Calibri" w:cs="Calibri"/>
          <w:color w:val="auto"/>
          <w:szCs w:val="24"/>
          <w:lang w:val="en-AU"/>
        </w:rPr>
        <w:t>will yield</w:t>
      </w:r>
      <w:r w:rsidR="003472B9" w:rsidRPr="003472B9">
        <w:rPr>
          <w:rFonts w:ascii="Calibri" w:eastAsia="Calibri" w:hAnsi="Calibri" w:cs="Calibri"/>
          <w:color w:val="auto"/>
          <w:szCs w:val="24"/>
          <w:lang w:val="en-AU"/>
        </w:rPr>
        <w:t xml:space="preserve"> </w:t>
      </w:r>
      <w:r>
        <w:rPr>
          <w:rFonts w:ascii="Calibri" w:eastAsia="Calibri" w:hAnsi="Calibri" w:cs="Calibri"/>
          <w:color w:val="auto"/>
          <w:szCs w:val="24"/>
          <w:lang w:val="en-AU"/>
        </w:rPr>
        <w:t>‘</w:t>
      </w:r>
      <w:r w:rsidR="003472B9" w:rsidRPr="003472B9">
        <w:rPr>
          <w:rFonts w:ascii="Calibri" w:eastAsia="Calibri" w:hAnsi="Calibri" w:cs="Calibri"/>
          <w:color w:val="auto"/>
          <w:szCs w:val="24"/>
          <w:lang w:val="en-AU"/>
        </w:rPr>
        <w:t>yes</w:t>
      </w:r>
      <w:r>
        <w:rPr>
          <w:rFonts w:ascii="Calibri" w:eastAsia="Calibri" w:hAnsi="Calibri" w:cs="Calibri"/>
          <w:color w:val="auto"/>
          <w:szCs w:val="24"/>
          <w:lang w:val="en-AU"/>
        </w:rPr>
        <w:t>’</w:t>
      </w:r>
      <w:r w:rsidR="003472B9" w:rsidRPr="003472B9">
        <w:rPr>
          <w:rFonts w:ascii="Calibri" w:eastAsia="Calibri" w:hAnsi="Calibri" w:cs="Calibri"/>
          <w:color w:val="auto"/>
          <w:szCs w:val="24"/>
          <w:lang w:val="en-AU"/>
        </w:rPr>
        <w:t xml:space="preserve"> to all three questions.</w:t>
      </w:r>
    </w:p>
    <w:p w14:paraId="10680583" w14:textId="3689B208" w:rsidR="00151331" w:rsidRDefault="00151331" w:rsidP="00D63717">
      <w:pPr>
        <w:pStyle w:val="Heading2"/>
        <w:spacing w:before="0" w:after="120" w:line="240" w:lineRule="auto"/>
        <w:ind w:left="0" w:firstLine="0"/>
      </w:pPr>
    </w:p>
    <w:p w14:paraId="5B7F9F24" w14:textId="4A0917CC" w:rsidR="001B509B" w:rsidRDefault="001B509B" w:rsidP="00D63717">
      <w:pPr>
        <w:pStyle w:val="Heading2"/>
        <w:spacing w:before="0" w:after="120" w:line="240" w:lineRule="auto"/>
        <w:ind w:left="0" w:firstLine="0"/>
      </w:pPr>
    </w:p>
    <w:p w14:paraId="59E2C047" w14:textId="6AF75575" w:rsidR="001B509B" w:rsidRDefault="001B509B" w:rsidP="00D63717">
      <w:pPr>
        <w:pStyle w:val="Heading2"/>
        <w:spacing w:before="0" w:after="120" w:line="240" w:lineRule="auto"/>
        <w:ind w:left="0" w:firstLine="0"/>
      </w:pPr>
    </w:p>
    <w:p w14:paraId="2D965866" w14:textId="7BCA144C" w:rsidR="001B509B" w:rsidRDefault="001B509B" w:rsidP="00D63717">
      <w:pPr>
        <w:pStyle w:val="Heading2"/>
        <w:spacing w:before="0" w:after="120" w:line="240" w:lineRule="auto"/>
        <w:ind w:left="0" w:firstLine="0"/>
      </w:pPr>
    </w:p>
    <w:p w14:paraId="1279A03F" w14:textId="5F055572" w:rsidR="001B509B" w:rsidRDefault="001B509B" w:rsidP="00D63717">
      <w:pPr>
        <w:pStyle w:val="Heading2"/>
        <w:spacing w:before="0" w:after="120" w:line="240" w:lineRule="auto"/>
        <w:ind w:left="0" w:firstLine="0"/>
      </w:pPr>
    </w:p>
    <w:p w14:paraId="6AABD7F8" w14:textId="5D8931F7" w:rsidR="001B509B" w:rsidRDefault="001B509B" w:rsidP="00D63717">
      <w:pPr>
        <w:pStyle w:val="Heading2"/>
        <w:spacing w:before="0" w:after="120" w:line="240" w:lineRule="auto"/>
        <w:ind w:left="0" w:firstLine="0"/>
      </w:pPr>
    </w:p>
    <w:p w14:paraId="734EA7A5" w14:textId="2B8259C2" w:rsidR="001B509B" w:rsidRDefault="001B509B" w:rsidP="00D63717">
      <w:pPr>
        <w:pStyle w:val="Heading2"/>
        <w:spacing w:before="0" w:after="120" w:line="240" w:lineRule="auto"/>
        <w:ind w:left="0" w:firstLine="0"/>
      </w:pPr>
    </w:p>
    <w:p w14:paraId="42BA21D9" w14:textId="79B14869" w:rsidR="001B509B" w:rsidRDefault="001B509B" w:rsidP="00D63717">
      <w:pPr>
        <w:pStyle w:val="Heading2"/>
        <w:spacing w:before="0" w:after="120" w:line="240" w:lineRule="auto"/>
        <w:ind w:left="0" w:firstLine="0"/>
      </w:pPr>
    </w:p>
    <w:p w14:paraId="2133E865" w14:textId="5F673518" w:rsidR="001B509B" w:rsidRDefault="001B509B" w:rsidP="00D63717">
      <w:pPr>
        <w:pStyle w:val="Heading2"/>
        <w:spacing w:before="0" w:after="120" w:line="240" w:lineRule="auto"/>
        <w:ind w:left="0" w:firstLine="0"/>
      </w:pPr>
    </w:p>
    <w:p w14:paraId="156CC1B9" w14:textId="08508E2F" w:rsidR="001B509B" w:rsidRDefault="001B509B" w:rsidP="00D63717">
      <w:pPr>
        <w:pStyle w:val="Heading2"/>
        <w:spacing w:before="0" w:after="120" w:line="240" w:lineRule="auto"/>
        <w:ind w:left="0" w:firstLine="0"/>
      </w:pPr>
    </w:p>
    <w:p w14:paraId="156B487D" w14:textId="4FC8ABB7" w:rsidR="001B509B" w:rsidRDefault="001B509B" w:rsidP="00D63717">
      <w:pPr>
        <w:pStyle w:val="Heading2"/>
        <w:spacing w:before="0" w:after="120" w:line="240" w:lineRule="auto"/>
        <w:ind w:left="0" w:firstLine="0"/>
      </w:pPr>
    </w:p>
    <w:p w14:paraId="6070702F" w14:textId="548C99B5" w:rsidR="001B509B" w:rsidRDefault="001B509B" w:rsidP="00D63717">
      <w:pPr>
        <w:pStyle w:val="Heading2"/>
        <w:spacing w:before="0" w:after="120" w:line="240" w:lineRule="auto"/>
        <w:ind w:left="0" w:firstLine="0"/>
      </w:pPr>
    </w:p>
    <w:p w14:paraId="59350125" w14:textId="77777777" w:rsidR="001B509B" w:rsidRDefault="001B509B" w:rsidP="00D63717">
      <w:pPr>
        <w:pStyle w:val="Heading2"/>
        <w:spacing w:before="0" w:after="120" w:line="240" w:lineRule="auto"/>
        <w:ind w:left="0" w:firstLine="0"/>
      </w:pPr>
    </w:p>
    <w:p w14:paraId="380050DF" w14:textId="77777777" w:rsidR="001B509B" w:rsidRDefault="001B509B">
      <w:pPr>
        <w:spacing w:after="160" w:line="259" w:lineRule="auto"/>
        <w:ind w:left="0" w:right="0" w:firstLine="0"/>
        <w:rPr>
          <w:rFonts w:ascii="Calibri" w:eastAsia="Calibri" w:hAnsi="Calibri" w:cs="Calibri"/>
          <w:b/>
          <w:noProof/>
          <w:color w:val="519B4B"/>
          <w:w w:val="105"/>
          <w:sz w:val="28"/>
        </w:rPr>
      </w:pPr>
      <w:r>
        <w:br w:type="page"/>
      </w:r>
    </w:p>
    <w:p w14:paraId="21464708" w14:textId="661468AB" w:rsidR="0057393D" w:rsidRDefault="007303B1" w:rsidP="00D63717">
      <w:pPr>
        <w:pStyle w:val="Heading2"/>
        <w:spacing w:before="0" w:after="120" w:line="240" w:lineRule="auto"/>
        <w:ind w:left="0" w:firstLine="0"/>
      </w:pPr>
      <w:r>
        <w:lastRenderedPageBreak/>
        <w:t>M</w:t>
      </w:r>
      <w:r w:rsidR="00BB63F3" w:rsidRPr="00BB63F3">
        <w:t xml:space="preserve">ore </w:t>
      </w:r>
      <w:r>
        <w:t>I</w:t>
      </w:r>
      <w:r w:rsidR="00BB63F3" w:rsidRPr="00BB63F3">
        <w:t>nformation</w:t>
      </w:r>
    </w:p>
    <w:p w14:paraId="4690EB58" w14:textId="649635DD" w:rsidR="00702D75" w:rsidRDefault="00FB3BBA" w:rsidP="00D63717">
      <w:pPr>
        <w:spacing w:after="120" w:line="240" w:lineRule="auto"/>
        <w:ind w:left="0" w:right="0" w:firstLine="0"/>
        <w:rPr>
          <w:rFonts w:ascii="Calibri" w:eastAsia="Calibri" w:hAnsi="Calibri" w:cs="Calibri"/>
          <w:color w:val="auto"/>
          <w:szCs w:val="24"/>
          <w:lang w:val="en-AU"/>
        </w:rPr>
      </w:pPr>
      <w:r w:rsidRPr="00FB3BBA">
        <w:rPr>
          <w:rFonts w:ascii="Calibri" w:eastAsia="Calibri" w:hAnsi="Calibri" w:cs="Calibri"/>
          <w:color w:val="auto"/>
          <w:szCs w:val="24"/>
          <w:lang w:val="en-AU"/>
        </w:rPr>
        <w:t>‘</w:t>
      </w:r>
      <w:r>
        <w:rPr>
          <w:rFonts w:ascii="Calibri" w:eastAsia="Calibri" w:hAnsi="Calibri" w:cs="Calibri"/>
          <w:color w:val="auto"/>
          <w:szCs w:val="24"/>
          <w:lang w:val="en-AU"/>
        </w:rPr>
        <w:t>First, discover their strengths’</w:t>
      </w:r>
      <w:r w:rsidRPr="00FB3BBA">
        <w:rPr>
          <w:rFonts w:ascii="Calibri" w:eastAsia="Calibri" w:hAnsi="Calibri" w:cs="Calibri"/>
          <w:color w:val="auto"/>
          <w:szCs w:val="24"/>
          <w:lang w:val="en-AU"/>
        </w:rPr>
        <w:t xml:space="preserve"> article in </w:t>
      </w:r>
      <w:r>
        <w:rPr>
          <w:rFonts w:ascii="Calibri" w:eastAsia="Calibri" w:hAnsi="Calibri" w:cs="Calibri"/>
          <w:color w:val="auto"/>
          <w:szCs w:val="24"/>
          <w:lang w:val="en-AU"/>
        </w:rPr>
        <w:t xml:space="preserve">Educational Leadership exploring how neurodiverse students can flourish if educators construct </w:t>
      </w:r>
      <w:r w:rsidRPr="00FB3BBA">
        <w:rPr>
          <w:rFonts w:ascii="Calibri" w:eastAsia="Calibri" w:hAnsi="Calibri" w:cs="Calibri"/>
          <w:color w:val="auto"/>
          <w:szCs w:val="24"/>
          <w:lang w:val="en-AU"/>
        </w:rPr>
        <w:t xml:space="preserve">advantageous environments that minimize their weaknesses and maximize strengths. Available </w:t>
      </w:r>
      <w:r>
        <w:rPr>
          <w:rFonts w:ascii="Calibri" w:eastAsia="Calibri" w:hAnsi="Calibri" w:cs="Calibri"/>
          <w:color w:val="auto"/>
          <w:szCs w:val="24"/>
          <w:lang w:val="en-AU"/>
        </w:rPr>
        <w:t xml:space="preserve">online </w:t>
      </w:r>
      <w:r w:rsidRPr="00FB3BBA">
        <w:rPr>
          <w:rFonts w:ascii="Calibri" w:eastAsia="Calibri" w:hAnsi="Calibri" w:cs="Calibri"/>
          <w:color w:val="auto"/>
          <w:szCs w:val="24"/>
          <w:lang w:val="en-AU"/>
        </w:rPr>
        <w:t>http://www.ascd.org/publications/educational-leadership/oct12/vol70/num02/First,-Discover-Their-Strengths.aspx</w:t>
      </w:r>
    </w:p>
    <w:p w14:paraId="2640E1EA" w14:textId="465960F7" w:rsidR="003472B9" w:rsidRDefault="00702D75"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‘Good Teaching: Inclusive Teaching for Students with Disability’ publication by Department for Education, Tasmania is a practical support resource to give teachers more confidence in working with students with disability.</w:t>
      </w:r>
      <w:r w:rsidR="00FB3BBA">
        <w:rPr>
          <w:rFonts w:ascii="Calibri" w:eastAsia="Calibri" w:hAnsi="Calibri" w:cs="Calibri"/>
          <w:color w:val="auto"/>
          <w:szCs w:val="24"/>
          <w:lang w:val="en-AU"/>
        </w:rPr>
        <w:t xml:space="preserve"> </w:t>
      </w:r>
      <w:r>
        <w:rPr>
          <w:rFonts w:ascii="Calibri" w:eastAsia="Calibri" w:hAnsi="Calibri" w:cs="Calibri"/>
          <w:color w:val="auto"/>
          <w:szCs w:val="24"/>
          <w:lang w:val="en-AU"/>
        </w:rPr>
        <w:t>‘</w:t>
      </w:r>
      <w:r w:rsidR="003472B9" w:rsidRPr="003472B9">
        <w:rPr>
          <w:rFonts w:ascii="Calibri" w:eastAsia="Calibri" w:hAnsi="Calibri" w:cs="Calibri"/>
          <w:color w:val="auto"/>
          <w:szCs w:val="24"/>
          <w:lang w:val="en-AU"/>
        </w:rPr>
        <w:t>https://publicdocumentcentre.education.tas.gov.au/Documents/Good-Teaching-Inclusive-Teaching-for-Students-with-Disability.pdf</w:t>
      </w:r>
    </w:p>
    <w:p w14:paraId="05E20340" w14:textId="72DFD9C8" w:rsidR="00165A80" w:rsidRDefault="00165A80" w:rsidP="00D63717">
      <w:pPr>
        <w:spacing w:after="120" w:line="240" w:lineRule="auto"/>
        <w:ind w:left="0" w:right="0" w:firstLine="0"/>
        <w:rPr>
          <w:rStyle w:val="Hyperlink"/>
          <w:rFonts w:asciiTheme="minorHAnsi" w:eastAsia="Calibri" w:hAnsiTheme="minorHAnsi" w:cstheme="minorHAnsi"/>
          <w:color w:val="auto"/>
          <w:szCs w:val="24"/>
          <w:u w:val="none"/>
        </w:rPr>
      </w:pPr>
      <w:r>
        <w:rPr>
          <w:rStyle w:val="Hyperlink"/>
          <w:rFonts w:asciiTheme="minorHAnsi" w:eastAsia="Calibri" w:hAnsiTheme="minorHAnsi" w:cstheme="minorHAnsi"/>
          <w:color w:val="auto"/>
          <w:szCs w:val="24"/>
          <w:u w:val="none"/>
        </w:rPr>
        <w:t xml:space="preserve">Information </w:t>
      </w:r>
      <w:r w:rsidR="005E67D3">
        <w:rPr>
          <w:rStyle w:val="Hyperlink"/>
          <w:rFonts w:asciiTheme="minorHAnsi" w:eastAsia="Calibri" w:hAnsiTheme="minorHAnsi" w:cstheme="minorHAnsi"/>
          <w:color w:val="auto"/>
          <w:szCs w:val="24"/>
          <w:u w:val="none"/>
        </w:rPr>
        <w:t xml:space="preserve">from the Victorian Department of Education and Training </w:t>
      </w:r>
      <w:r>
        <w:rPr>
          <w:rStyle w:val="Hyperlink"/>
          <w:rFonts w:asciiTheme="minorHAnsi" w:eastAsia="Calibri" w:hAnsiTheme="minorHAnsi" w:cstheme="minorHAnsi"/>
          <w:color w:val="auto"/>
          <w:szCs w:val="24"/>
          <w:u w:val="none"/>
        </w:rPr>
        <w:t xml:space="preserve">about </w:t>
      </w:r>
      <w:r w:rsidRPr="00165A80">
        <w:rPr>
          <w:rStyle w:val="Hyperlink"/>
          <w:rFonts w:asciiTheme="minorHAnsi" w:eastAsia="Calibri" w:hAnsiTheme="minorHAnsi" w:cstheme="minorHAnsi"/>
          <w:color w:val="auto"/>
          <w:szCs w:val="24"/>
          <w:u w:val="none"/>
        </w:rPr>
        <w:t>School-wide positive behaviour support (SWPBS)</w:t>
      </w:r>
      <w:r>
        <w:rPr>
          <w:rStyle w:val="Hyperlink"/>
          <w:rFonts w:asciiTheme="minorHAnsi" w:eastAsia="Calibri" w:hAnsiTheme="minorHAnsi" w:cstheme="minorHAnsi"/>
          <w:color w:val="auto"/>
          <w:szCs w:val="24"/>
          <w:u w:val="none"/>
        </w:rPr>
        <w:t xml:space="preserve">, a framework for school communities to develop positive, safe, supportive learning cultures, and SWPBS in Victorian schools. </w:t>
      </w:r>
      <w:r w:rsidRPr="00165A80">
        <w:rPr>
          <w:rStyle w:val="Hyperlink"/>
          <w:rFonts w:asciiTheme="minorHAnsi" w:eastAsia="Calibri" w:hAnsiTheme="minorHAnsi" w:cstheme="minorHAnsi"/>
          <w:color w:val="auto"/>
          <w:szCs w:val="24"/>
          <w:u w:val="none"/>
        </w:rPr>
        <w:t>https://www.education.vic.gov.au/school/teachers/management/improvement/Pages/swpbs.aspx</w:t>
      </w:r>
    </w:p>
    <w:p w14:paraId="14EAF9EF" w14:textId="3781B7CE" w:rsidR="00165A80" w:rsidRPr="00FB3BBA" w:rsidRDefault="00165A80" w:rsidP="00D63717">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 xml:space="preserve">Information </w:t>
      </w:r>
      <w:r w:rsidR="005E67D3">
        <w:rPr>
          <w:rStyle w:val="Hyperlink"/>
          <w:rFonts w:asciiTheme="minorHAnsi" w:eastAsia="Calibri" w:hAnsiTheme="minorHAnsi" w:cstheme="minorHAnsi"/>
          <w:color w:val="auto"/>
          <w:szCs w:val="24"/>
          <w:u w:val="none"/>
        </w:rPr>
        <w:t xml:space="preserve">from the Victorian Department of Education and Training </w:t>
      </w:r>
      <w:r>
        <w:rPr>
          <w:rFonts w:asciiTheme="minorHAnsi" w:eastAsia="Calibri" w:hAnsiTheme="minorHAnsi" w:cstheme="minorHAnsi"/>
          <w:color w:val="auto"/>
          <w:szCs w:val="24"/>
          <w:lang w:val="en-AU"/>
        </w:rPr>
        <w:t>about prevention and early intervention of restraint and seclusion</w:t>
      </w:r>
      <w:r w:rsidRPr="00165A80">
        <w:rPr>
          <w:rFonts w:asciiTheme="minorHAnsi" w:eastAsia="Calibri" w:hAnsiTheme="minorHAnsi" w:cstheme="minorHAnsi"/>
          <w:color w:val="auto"/>
          <w:szCs w:val="24"/>
          <w:lang w:val="en-AU"/>
        </w:rPr>
        <w:t xml:space="preserve"> </w:t>
      </w:r>
      <w:r>
        <w:rPr>
          <w:rFonts w:asciiTheme="minorHAnsi" w:eastAsia="Calibri" w:hAnsiTheme="minorHAnsi" w:cstheme="minorHAnsi"/>
          <w:color w:val="auto"/>
          <w:szCs w:val="24"/>
          <w:lang w:val="en-AU"/>
        </w:rPr>
        <w:t xml:space="preserve">including </w:t>
      </w:r>
      <w:r w:rsidR="005E67D3">
        <w:rPr>
          <w:rFonts w:asciiTheme="minorHAnsi" w:eastAsia="Calibri" w:hAnsiTheme="minorHAnsi" w:cstheme="minorHAnsi"/>
          <w:color w:val="auto"/>
          <w:szCs w:val="24"/>
          <w:lang w:val="en-AU"/>
        </w:rPr>
        <w:t xml:space="preserve">actions for schools to address </w:t>
      </w:r>
      <w:r>
        <w:rPr>
          <w:rFonts w:asciiTheme="minorHAnsi" w:eastAsia="Calibri" w:hAnsiTheme="minorHAnsi" w:cstheme="minorHAnsi"/>
          <w:color w:val="auto"/>
          <w:szCs w:val="24"/>
          <w:lang w:val="en-AU"/>
        </w:rPr>
        <w:t>behaviours of concern</w:t>
      </w:r>
      <w:r w:rsidR="005E67D3">
        <w:rPr>
          <w:rFonts w:asciiTheme="minorHAnsi" w:eastAsia="Calibri" w:hAnsiTheme="minorHAnsi" w:cstheme="minorHAnsi"/>
          <w:color w:val="auto"/>
          <w:szCs w:val="24"/>
          <w:lang w:val="en-AU"/>
        </w:rPr>
        <w:t>.</w:t>
      </w:r>
      <w:r>
        <w:rPr>
          <w:rFonts w:asciiTheme="minorHAnsi" w:eastAsia="Calibri" w:hAnsiTheme="minorHAnsi" w:cstheme="minorHAnsi"/>
          <w:color w:val="auto"/>
          <w:szCs w:val="24"/>
          <w:lang w:val="en-AU"/>
        </w:rPr>
        <w:t xml:space="preserve"> </w:t>
      </w:r>
      <w:r w:rsidR="005E67D3" w:rsidRPr="005E67D3">
        <w:rPr>
          <w:rFonts w:asciiTheme="minorHAnsi" w:eastAsia="Calibri" w:hAnsiTheme="minorHAnsi" w:cstheme="minorHAnsi"/>
          <w:color w:val="auto"/>
          <w:szCs w:val="24"/>
          <w:lang w:val="en-AU"/>
        </w:rPr>
        <w:t>https://www.education.vic.gov.au/school/teachers/behaviour/restraint/Pages/earlyintervention.aspx</w:t>
      </w:r>
    </w:p>
    <w:p w14:paraId="346CB18E" w14:textId="35A56C84" w:rsidR="003472B9" w:rsidRDefault="003472B9" w:rsidP="00D63717">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T</w:t>
      </w:r>
      <w:r w:rsidRPr="003472B9">
        <w:rPr>
          <w:rFonts w:ascii="Calibri" w:eastAsia="Calibri" w:hAnsi="Calibri" w:cs="Calibri"/>
          <w:color w:val="auto"/>
          <w:szCs w:val="24"/>
          <w:lang w:val="en-AU"/>
        </w:rPr>
        <w:t>he Citizenhood publication by JFA Purple Orange</w:t>
      </w:r>
      <w:r w:rsidRPr="003472B9">
        <w:t xml:space="preserve"> </w:t>
      </w:r>
      <w:r w:rsidRPr="003472B9">
        <w:rPr>
          <w:rFonts w:ascii="Calibri" w:eastAsia="Calibri" w:hAnsi="Calibri" w:cs="Calibri"/>
          <w:color w:val="auto"/>
          <w:szCs w:val="24"/>
          <w:lang w:val="en-AU"/>
        </w:rPr>
        <w:t>about building more helpful and impactful supports around a person living with disability:</w:t>
      </w:r>
    </w:p>
    <w:p w14:paraId="3E93DBE5" w14:textId="77777777" w:rsidR="00165A80" w:rsidRDefault="003472B9" w:rsidP="00D63717">
      <w:pPr>
        <w:spacing w:after="120" w:line="240" w:lineRule="auto"/>
        <w:ind w:left="0" w:right="0" w:firstLine="0"/>
      </w:pPr>
      <w:r w:rsidRPr="00550E60">
        <w:rPr>
          <w:rFonts w:asciiTheme="minorHAnsi" w:hAnsiTheme="minorHAnsi" w:cstheme="minorHAnsi"/>
          <w:color w:val="auto"/>
          <w:szCs w:val="24"/>
        </w:rPr>
        <w:t>Williams, R. (2013). Model of Citizenhood Support 2</w:t>
      </w:r>
      <w:r w:rsidRPr="00550E60">
        <w:rPr>
          <w:rFonts w:asciiTheme="minorHAnsi" w:hAnsiTheme="minorHAnsi" w:cstheme="minorHAnsi"/>
          <w:color w:val="auto"/>
          <w:szCs w:val="24"/>
          <w:vertAlign w:val="superscript"/>
        </w:rPr>
        <w:t>nd</w:t>
      </w:r>
      <w:r w:rsidRPr="00550E60">
        <w:rPr>
          <w:rFonts w:asciiTheme="minorHAnsi" w:hAnsiTheme="minorHAnsi" w:cstheme="minorHAnsi"/>
          <w:color w:val="auto"/>
          <w:szCs w:val="24"/>
        </w:rPr>
        <w:t xml:space="preserve"> Edition. </w:t>
      </w:r>
      <w:r w:rsidRPr="00550E60">
        <w:rPr>
          <w:rFonts w:asciiTheme="minorHAnsi" w:eastAsia="Calibri" w:hAnsiTheme="minorHAnsi" w:cstheme="minorHAnsi"/>
          <w:color w:val="auto"/>
          <w:szCs w:val="24"/>
        </w:rPr>
        <w:t xml:space="preserve">Julia Farr Association. </w:t>
      </w:r>
      <w:r w:rsidRPr="00550E60">
        <w:rPr>
          <w:rFonts w:asciiTheme="minorHAnsi" w:hAnsiTheme="minorHAnsi" w:cstheme="minorHAnsi"/>
          <w:color w:val="auto"/>
          <w:szCs w:val="24"/>
        </w:rPr>
        <w:t>Available online</w:t>
      </w:r>
      <w:r w:rsidR="00FB3BBA">
        <w:rPr>
          <w:rFonts w:asciiTheme="minorHAnsi" w:hAnsiTheme="minorHAnsi" w:cstheme="minorHAnsi"/>
          <w:color w:val="auto"/>
          <w:szCs w:val="24"/>
        </w:rPr>
        <w:t xml:space="preserve"> </w:t>
      </w:r>
      <w:hyperlink r:id="rId10" w:history="1">
        <w:r w:rsidRPr="00550E60">
          <w:rPr>
            <w:rStyle w:val="Hyperlink"/>
            <w:rFonts w:asciiTheme="minorHAnsi" w:hAnsiTheme="minorHAnsi" w:cstheme="minorHAnsi"/>
            <w:color w:val="auto"/>
            <w:szCs w:val="24"/>
            <w:u w:val="none"/>
          </w:rPr>
          <w:t>http://www.valuesinaction.org.au/application/files/7614/7253/8281/Model_of_Citizenhood_Support_2nd_Edition_FINAL.pdf</w:t>
        </w:r>
      </w:hyperlink>
      <w:r w:rsidRPr="00550E60">
        <w:rPr>
          <w:rFonts w:asciiTheme="minorHAnsi" w:hAnsiTheme="minorHAnsi" w:cstheme="minorHAnsi"/>
          <w:color w:val="auto"/>
          <w:szCs w:val="24"/>
        </w:rPr>
        <w:t xml:space="preserve"> or hardcopy </w:t>
      </w:r>
      <w:r w:rsidRPr="00550E60">
        <w:rPr>
          <w:rFonts w:asciiTheme="minorHAnsi" w:eastAsia="Calibri" w:hAnsiTheme="minorHAnsi" w:cstheme="minorHAnsi"/>
          <w:color w:val="auto"/>
          <w:szCs w:val="24"/>
        </w:rPr>
        <w:t xml:space="preserve">via </w:t>
      </w:r>
      <w:hyperlink r:id="rId11" w:history="1">
        <w:r w:rsidRPr="00550E60">
          <w:rPr>
            <w:rStyle w:val="Hyperlink"/>
            <w:rFonts w:asciiTheme="minorHAnsi" w:eastAsia="Calibri" w:hAnsiTheme="minorHAnsi" w:cstheme="minorHAnsi"/>
            <w:color w:val="auto"/>
            <w:szCs w:val="24"/>
            <w:u w:val="none"/>
          </w:rPr>
          <w:t>admin@purpleorange.org.au</w:t>
        </w:r>
      </w:hyperlink>
      <w:r w:rsidR="00165A80" w:rsidRPr="00165A80">
        <w:t xml:space="preserve"> </w:t>
      </w:r>
    </w:p>
    <w:p w14:paraId="70F61B53" w14:textId="2C832F06" w:rsidR="00151331" w:rsidRDefault="00151331" w:rsidP="00D63717">
      <w:pPr>
        <w:spacing w:after="120" w:line="240" w:lineRule="auto"/>
        <w:ind w:left="0" w:right="0" w:firstLine="0"/>
        <w:rPr>
          <w:rFonts w:ascii="Calibri" w:eastAsia="Calibri" w:hAnsi="Calibri" w:cs="Calibri"/>
          <w:color w:val="0000FF"/>
          <w:szCs w:val="24"/>
          <w:u w:val="single"/>
          <w:lang w:val="en-AU"/>
        </w:rPr>
      </w:pPr>
      <w:bookmarkStart w:id="3" w:name="_Hlk28870696"/>
    </w:p>
    <w:p w14:paraId="3FAFB400" w14:textId="5F68B775" w:rsidR="00151331" w:rsidRDefault="00B966FB" w:rsidP="00D63717">
      <w:pPr>
        <w:pStyle w:val="Heading2"/>
        <w:spacing w:after="120" w:line="240" w:lineRule="auto"/>
        <w:rPr>
          <w:lang w:val="en-AU"/>
        </w:rPr>
      </w:pPr>
      <w:r>
        <w:rPr>
          <w:lang w:val="en-AU"/>
        </w:rPr>
        <w:t xml:space="preserve">Acknowledgement </w:t>
      </w:r>
    </w:p>
    <w:p w14:paraId="59FCA658" w14:textId="2C53E63C" w:rsidR="00151331" w:rsidRPr="001B509B" w:rsidRDefault="00B966FB" w:rsidP="001B509B">
      <w:pPr>
        <w:pStyle w:val="BodyText1"/>
      </w:pPr>
      <w:bookmarkStart w:id="4" w:name="_Hlk28856431"/>
      <w:r>
        <w:t xml:space="preserve">This tool was written </w:t>
      </w:r>
      <w:r w:rsidR="003472B9">
        <w:t xml:space="preserve">by Robbi Williams, CEO of Julia Farr group </w:t>
      </w:r>
      <w:r w:rsidR="00DD1807">
        <w:t>and</w:t>
      </w:r>
      <w:r>
        <w:t xml:space="preserve"> edit</w:t>
      </w:r>
      <w:r w:rsidR="00DD1807">
        <w:t>ed</w:t>
      </w:r>
      <w:bookmarkStart w:id="5" w:name="_GoBack"/>
      <w:bookmarkEnd w:id="5"/>
      <w:r>
        <w:t xml:space="preserve"> by JFA Purple Orange. </w:t>
      </w:r>
      <w:bookmarkEnd w:id="2"/>
      <w:bookmarkEnd w:id="4"/>
      <w:bookmarkEnd w:id="3"/>
    </w:p>
    <w:p w14:paraId="4D1C1332" w14:textId="661A010D"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0EA72E83" w14:textId="3EB00273" w:rsidR="001B509B" w:rsidRDefault="001B509B" w:rsidP="00151331">
      <w:pPr>
        <w:spacing w:after="120" w:line="240" w:lineRule="auto"/>
        <w:ind w:left="0" w:right="0" w:firstLine="0"/>
        <w:rPr>
          <w:rFonts w:ascii="Calibri" w:eastAsia="Calibri" w:hAnsi="Calibri" w:cs="Calibri"/>
          <w:color w:val="0000FF"/>
          <w:szCs w:val="24"/>
          <w:u w:val="single"/>
          <w:lang w:val="en-AU"/>
        </w:rPr>
      </w:pPr>
    </w:p>
    <w:p w14:paraId="015ACBB9" w14:textId="134638CC" w:rsidR="001B509B" w:rsidRDefault="001B509B" w:rsidP="00151331">
      <w:pPr>
        <w:spacing w:after="120" w:line="240" w:lineRule="auto"/>
        <w:ind w:left="0" w:right="0" w:firstLine="0"/>
        <w:rPr>
          <w:rFonts w:ascii="Calibri" w:eastAsia="Calibri" w:hAnsi="Calibri" w:cs="Calibri"/>
          <w:color w:val="0000FF"/>
          <w:szCs w:val="24"/>
          <w:u w:val="single"/>
          <w:lang w:val="en-AU"/>
        </w:rPr>
      </w:pPr>
    </w:p>
    <w:p w14:paraId="07FDB39E" w14:textId="2AE07AA5" w:rsidR="001B509B" w:rsidRDefault="001B509B" w:rsidP="00151331">
      <w:pPr>
        <w:spacing w:after="120" w:line="240" w:lineRule="auto"/>
        <w:ind w:left="0" w:right="0" w:firstLine="0"/>
        <w:rPr>
          <w:rFonts w:ascii="Calibri" w:eastAsia="Calibri" w:hAnsi="Calibri" w:cs="Calibri"/>
          <w:color w:val="0000FF"/>
          <w:szCs w:val="24"/>
          <w:u w:val="single"/>
          <w:lang w:val="en-AU"/>
        </w:rPr>
      </w:pPr>
    </w:p>
    <w:p w14:paraId="1582BDC6" w14:textId="77777777" w:rsidR="001B509B" w:rsidRDefault="001B509B"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3"/>
      <w:footerReference w:type="default" r:id="rId14"/>
      <w:footerReference w:type="first" r:id="rId15"/>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2621F67D" w14:textId="03726ECD" w:rsidR="00EF08B9" w:rsidRPr="00664E37" w:rsidRDefault="00EF08B9">
      <w:pPr>
        <w:pStyle w:val="FootnoteText"/>
        <w:rPr>
          <w:rFonts w:asciiTheme="minorHAnsi" w:hAnsiTheme="minorHAnsi" w:cstheme="minorHAnsi"/>
          <w:sz w:val="18"/>
          <w:szCs w:val="18"/>
          <w:lang w:val="en-AU"/>
        </w:rPr>
      </w:pPr>
      <w:r w:rsidRPr="00664E37">
        <w:rPr>
          <w:rStyle w:val="FootnoteReference"/>
          <w:rFonts w:asciiTheme="minorHAnsi" w:hAnsiTheme="minorHAnsi" w:cstheme="minorHAnsi"/>
          <w:sz w:val="18"/>
          <w:szCs w:val="18"/>
        </w:rPr>
        <w:footnoteRef/>
      </w:r>
      <w:r w:rsidRPr="00664E37">
        <w:rPr>
          <w:rFonts w:asciiTheme="minorHAnsi" w:hAnsiTheme="minorHAnsi" w:cstheme="minorHAnsi"/>
          <w:sz w:val="18"/>
          <w:szCs w:val="18"/>
        </w:rPr>
        <w:t xml:space="preserve"> </w:t>
      </w:r>
      <w:bookmarkStart w:id="1" w:name="_Hlk28870481"/>
      <w:r w:rsidRPr="00664E37">
        <w:rPr>
          <w:rFonts w:asciiTheme="minorHAnsi" w:hAnsiTheme="minorHAnsi" w:cstheme="minorHAnsi"/>
          <w:sz w:val="18"/>
          <w:szCs w:val="18"/>
          <w:lang w:val="en-AU"/>
        </w:rPr>
        <w:t>State Government of Victoria (2019). Restraint and seclusion: prevention and early intervention. Department of Education and Training. Retrieved from https://www.education.vic.gov.au/school/teachers/behaviour/restraint/Pages/earlyintervention.aspx</w:t>
      </w:r>
      <w:bookmarkEnd w:id="1"/>
    </w:p>
  </w:footnote>
  <w:footnote w:id="2">
    <w:p w14:paraId="14932D7A" w14:textId="77777777" w:rsidR="00A6446E" w:rsidRPr="00B23BC9" w:rsidRDefault="00A6446E" w:rsidP="00A6446E">
      <w:pPr>
        <w:pStyle w:val="FootnoteText"/>
        <w:rPr>
          <w:lang w:val="en-AU"/>
        </w:rPr>
      </w:pPr>
      <w:r w:rsidRPr="00B23BC9">
        <w:rPr>
          <w:rStyle w:val="FootnoteReference"/>
          <w:rFonts w:asciiTheme="minorHAnsi" w:hAnsiTheme="minorHAnsi" w:cstheme="minorHAnsi"/>
          <w:sz w:val="18"/>
          <w:szCs w:val="18"/>
        </w:rPr>
        <w:footnoteRef/>
      </w:r>
      <w:r w:rsidRPr="00B23BC9">
        <w:rPr>
          <w:rFonts w:asciiTheme="minorHAnsi" w:hAnsiTheme="minorHAnsi" w:cstheme="minorHAnsi"/>
          <w:sz w:val="18"/>
          <w:szCs w:val="18"/>
        </w:rPr>
        <w:t xml:space="preserve"> One World for Children (n.d.). CHCECE006 Support behaviour of children and young people. Retrieved from https://aspire-solidus-production.s3-ap-southeast-2.amazonaws.com/assets/NEXECE006/samples/NEXECE006.pdf</w:t>
      </w:r>
    </w:p>
  </w:footnote>
  <w:footnote w:id="3">
    <w:p w14:paraId="35F2F583" w14:textId="2D5D7F29" w:rsidR="00664E37" w:rsidRPr="00B23BC9" w:rsidRDefault="00664E37">
      <w:pPr>
        <w:pStyle w:val="FootnoteText"/>
        <w:rPr>
          <w:rFonts w:asciiTheme="minorHAnsi" w:hAnsiTheme="minorHAnsi" w:cstheme="minorHAnsi"/>
          <w:sz w:val="18"/>
          <w:szCs w:val="18"/>
          <w:lang w:val="en-AU"/>
        </w:rPr>
      </w:pPr>
      <w:r w:rsidRPr="00B23BC9">
        <w:rPr>
          <w:rStyle w:val="FootnoteReference"/>
          <w:rFonts w:asciiTheme="minorHAnsi" w:hAnsiTheme="minorHAnsi" w:cstheme="minorHAnsi"/>
          <w:sz w:val="18"/>
          <w:szCs w:val="18"/>
        </w:rPr>
        <w:footnoteRef/>
      </w:r>
      <w:r w:rsidRPr="00B23BC9">
        <w:rPr>
          <w:rFonts w:asciiTheme="minorHAnsi" w:hAnsiTheme="minorHAnsi" w:cstheme="minorHAnsi"/>
          <w:sz w:val="18"/>
          <w:szCs w:val="18"/>
        </w:rPr>
        <w:t xml:space="preserve"> </w:t>
      </w:r>
      <w:r w:rsidR="00765A89" w:rsidRPr="00B23BC9">
        <w:rPr>
          <w:rFonts w:asciiTheme="minorHAnsi" w:hAnsiTheme="minorHAnsi" w:cstheme="minorHAnsi"/>
          <w:sz w:val="18"/>
          <w:szCs w:val="18"/>
          <w:lang w:val="en-AU"/>
        </w:rPr>
        <w:t>State Government of Victoria (2019). Restraint and seclusion: prevention and early intervention. Department of Education and Training. Retrieved from https://www.education.vic.gov.au/school/teachers/behaviour/restraint/Pages/earlyintervention.aspx</w:t>
      </w:r>
    </w:p>
  </w:footnote>
  <w:footnote w:id="4">
    <w:p w14:paraId="708E8744" w14:textId="7AA1A06A" w:rsidR="002E4BF9" w:rsidRPr="00765A89" w:rsidRDefault="002E4BF9">
      <w:pPr>
        <w:pStyle w:val="FootnoteText"/>
        <w:rPr>
          <w:rFonts w:asciiTheme="minorHAnsi" w:hAnsiTheme="minorHAnsi" w:cstheme="minorHAnsi"/>
          <w:sz w:val="18"/>
          <w:szCs w:val="18"/>
          <w:lang w:val="en-AU"/>
        </w:rPr>
      </w:pPr>
      <w:r w:rsidRPr="00765A89">
        <w:rPr>
          <w:rStyle w:val="FootnoteReference"/>
          <w:rFonts w:asciiTheme="minorHAnsi" w:hAnsiTheme="minorHAnsi" w:cstheme="minorHAnsi"/>
          <w:sz w:val="18"/>
          <w:szCs w:val="18"/>
        </w:rPr>
        <w:footnoteRef/>
      </w:r>
      <w:r w:rsidRPr="00765A89">
        <w:rPr>
          <w:rFonts w:asciiTheme="minorHAnsi" w:hAnsiTheme="minorHAnsi" w:cstheme="minorHAnsi"/>
          <w:sz w:val="18"/>
          <w:szCs w:val="18"/>
        </w:rPr>
        <w:t xml:space="preserve"> </w:t>
      </w:r>
      <w:r w:rsidR="00765A89" w:rsidRPr="00765A89">
        <w:rPr>
          <w:rFonts w:asciiTheme="minorHAnsi" w:hAnsiTheme="minorHAnsi" w:cstheme="minorHAnsi"/>
          <w:sz w:val="18"/>
          <w:szCs w:val="18"/>
          <w:lang w:val="en-AU"/>
        </w:rPr>
        <w:t>State Government of Victoria (2019). Restraint and seclusion: prevention and early intervention. Department of Education and Training. Retrieved from https://www.education.vic.gov.au/school/teachers/behaviour/restraint/Pages/earlyintervention.aspx</w:t>
      </w:r>
    </w:p>
  </w:footnote>
  <w:footnote w:id="5">
    <w:p w14:paraId="4A277765" w14:textId="682CDAC7" w:rsidR="00765A89" w:rsidRPr="00765A89" w:rsidRDefault="00765A89">
      <w:pPr>
        <w:pStyle w:val="FootnoteText"/>
        <w:rPr>
          <w:lang w:val="en-AU"/>
        </w:rPr>
      </w:pPr>
      <w:r w:rsidRPr="00765A89">
        <w:rPr>
          <w:rStyle w:val="FootnoteReference"/>
          <w:rFonts w:asciiTheme="minorHAnsi" w:hAnsiTheme="minorHAnsi" w:cstheme="minorHAnsi"/>
          <w:sz w:val="18"/>
          <w:szCs w:val="18"/>
        </w:rPr>
        <w:footnoteRef/>
      </w:r>
      <w:r w:rsidRPr="00765A89">
        <w:rPr>
          <w:rFonts w:asciiTheme="minorHAnsi" w:hAnsiTheme="minorHAnsi" w:cstheme="minorHAnsi"/>
          <w:sz w:val="18"/>
          <w:szCs w:val="18"/>
        </w:rPr>
        <w:t xml:space="preserve"> </w:t>
      </w:r>
      <w:r w:rsidRPr="00765A89">
        <w:rPr>
          <w:rFonts w:asciiTheme="minorHAnsi" w:hAnsiTheme="minorHAnsi" w:cstheme="minorHAnsi"/>
          <w:sz w:val="18"/>
          <w:szCs w:val="18"/>
          <w:lang w:val="en-AU"/>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ED95C3E"/>
    <w:multiLevelType w:val="hybridMultilevel"/>
    <w:tmpl w:val="02E8D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3E5A75"/>
    <w:multiLevelType w:val="hybridMultilevel"/>
    <w:tmpl w:val="07F20892"/>
    <w:lvl w:ilvl="0" w:tplc="CBDA2150">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03664"/>
    <w:multiLevelType w:val="hybridMultilevel"/>
    <w:tmpl w:val="98ACAD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BA4EEC"/>
    <w:multiLevelType w:val="hybridMultilevel"/>
    <w:tmpl w:val="17D2191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49DF3A50"/>
    <w:multiLevelType w:val="hybridMultilevel"/>
    <w:tmpl w:val="3A7619AA"/>
    <w:lvl w:ilvl="0" w:tplc="1B62E52A">
      <w:numFmt w:val="bullet"/>
      <w:lvlText w:val=""/>
      <w:lvlJc w:val="left"/>
      <w:pPr>
        <w:ind w:left="1080" w:hanging="72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30DF3"/>
    <w:multiLevelType w:val="hybridMultilevel"/>
    <w:tmpl w:val="9E92B9EA"/>
    <w:lvl w:ilvl="0" w:tplc="96FCB2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95709A"/>
    <w:multiLevelType w:val="hybridMultilevel"/>
    <w:tmpl w:val="3BA818B6"/>
    <w:lvl w:ilvl="0" w:tplc="CBDA2150">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7" w15:restartNumberingAfterBreak="0">
    <w:nsid w:val="6A6D2B84"/>
    <w:multiLevelType w:val="hybridMultilevel"/>
    <w:tmpl w:val="57A023FA"/>
    <w:lvl w:ilvl="0" w:tplc="1B62E52A">
      <w:numFmt w:val="bullet"/>
      <w:lvlText w:val=""/>
      <w:lvlJc w:val="left"/>
      <w:pPr>
        <w:ind w:left="1080" w:hanging="72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6"/>
  </w:num>
  <w:num w:numId="4">
    <w:abstractNumId w:val="3"/>
  </w:num>
  <w:num w:numId="5">
    <w:abstractNumId w:val="0"/>
  </w:num>
  <w:num w:numId="6">
    <w:abstractNumId w:val="2"/>
  </w:num>
  <w:num w:numId="7">
    <w:abstractNumId w:val="4"/>
  </w:num>
  <w:num w:numId="8">
    <w:abstractNumId w:val="10"/>
  </w:num>
  <w:num w:numId="9">
    <w:abstractNumId w:val="7"/>
  </w:num>
  <w:num w:numId="10">
    <w:abstractNumId w:val="11"/>
  </w:num>
  <w:num w:numId="11">
    <w:abstractNumId w:val="1"/>
  </w:num>
  <w:num w:numId="12">
    <w:abstractNumId w:val="5"/>
  </w:num>
  <w:num w:numId="13">
    <w:abstractNumId w:val="15"/>
  </w:num>
  <w:num w:numId="14">
    <w:abstractNumId w:val="14"/>
  </w:num>
  <w:num w:numId="15">
    <w:abstractNumId w:val="13"/>
  </w:num>
  <w:num w:numId="16">
    <w:abstractNumId w:val="17"/>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47DB4"/>
    <w:rsid w:val="00151331"/>
    <w:rsid w:val="00165A80"/>
    <w:rsid w:val="001B509B"/>
    <w:rsid w:val="001C41D4"/>
    <w:rsid w:val="002105EC"/>
    <w:rsid w:val="00210EA3"/>
    <w:rsid w:val="002172F0"/>
    <w:rsid w:val="00247B64"/>
    <w:rsid w:val="00267E9E"/>
    <w:rsid w:val="0027503A"/>
    <w:rsid w:val="00275B4A"/>
    <w:rsid w:val="00293303"/>
    <w:rsid w:val="0029493B"/>
    <w:rsid w:val="0029515E"/>
    <w:rsid w:val="002E0578"/>
    <w:rsid w:val="002E4BF9"/>
    <w:rsid w:val="003404B0"/>
    <w:rsid w:val="003472B9"/>
    <w:rsid w:val="00360D00"/>
    <w:rsid w:val="00372062"/>
    <w:rsid w:val="003B33B4"/>
    <w:rsid w:val="003D1C65"/>
    <w:rsid w:val="003D638B"/>
    <w:rsid w:val="00400C96"/>
    <w:rsid w:val="004316C2"/>
    <w:rsid w:val="00483FF7"/>
    <w:rsid w:val="00512492"/>
    <w:rsid w:val="005234DA"/>
    <w:rsid w:val="005545FE"/>
    <w:rsid w:val="00560670"/>
    <w:rsid w:val="0057393D"/>
    <w:rsid w:val="00581C93"/>
    <w:rsid w:val="00591091"/>
    <w:rsid w:val="005A5F72"/>
    <w:rsid w:val="005B566E"/>
    <w:rsid w:val="005B5AB5"/>
    <w:rsid w:val="005C3244"/>
    <w:rsid w:val="005C3C5D"/>
    <w:rsid w:val="005C7803"/>
    <w:rsid w:val="005E67D3"/>
    <w:rsid w:val="005F4C28"/>
    <w:rsid w:val="00604845"/>
    <w:rsid w:val="00664E37"/>
    <w:rsid w:val="006710EF"/>
    <w:rsid w:val="006E1993"/>
    <w:rsid w:val="00702D75"/>
    <w:rsid w:val="007110FE"/>
    <w:rsid w:val="00713E94"/>
    <w:rsid w:val="00726A29"/>
    <w:rsid w:val="007303B1"/>
    <w:rsid w:val="007316A5"/>
    <w:rsid w:val="00734472"/>
    <w:rsid w:val="007630B5"/>
    <w:rsid w:val="00765A89"/>
    <w:rsid w:val="007A2C9C"/>
    <w:rsid w:val="007B7989"/>
    <w:rsid w:val="007D5523"/>
    <w:rsid w:val="007F67F8"/>
    <w:rsid w:val="00800606"/>
    <w:rsid w:val="00800754"/>
    <w:rsid w:val="0082199A"/>
    <w:rsid w:val="00827D90"/>
    <w:rsid w:val="00866140"/>
    <w:rsid w:val="00882851"/>
    <w:rsid w:val="008B38C5"/>
    <w:rsid w:val="008C0421"/>
    <w:rsid w:val="008D1D15"/>
    <w:rsid w:val="008F64DB"/>
    <w:rsid w:val="00913B17"/>
    <w:rsid w:val="00915AFE"/>
    <w:rsid w:val="009548B6"/>
    <w:rsid w:val="009611E0"/>
    <w:rsid w:val="00965723"/>
    <w:rsid w:val="00982A89"/>
    <w:rsid w:val="00986414"/>
    <w:rsid w:val="009A0198"/>
    <w:rsid w:val="009D229D"/>
    <w:rsid w:val="009D2DE3"/>
    <w:rsid w:val="00A1348E"/>
    <w:rsid w:val="00A22B47"/>
    <w:rsid w:val="00A25A5F"/>
    <w:rsid w:val="00A6446E"/>
    <w:rsid w:val="00AA4B12"/>
    <w:rsid w:val="00B23BC9"/>
    <w:rsid w:val="00B329F6"/>
    <w:rsid w:val="00B966FB"/>
    <w:rsid w:val="00BA3F61"/>
    <w:rsid w:val="00BB63F3"/>
    <w:rsid w:val="00BE6FCF"/>
    <w:rsid w:val="00BF47D4"/>
    <w:rsid w:val="00C01C00"/>
    <w:rsid w:val="00C22471"/>
    <w:rsid w:val="00C358A8"/>
    <w:rsid w:val="00CA652B"/>
    <w:rsid w:val="00CB1C39"/>
    <w:rsid w:val="00D35F3F"/>
    <w:rsid w:val="00D63717"/>
    <w:rsid w:val="00D81237"/>
    <w:rsid w:val="00D91B45"/>
    <w:rsid w:val="00DB50F7"/>
    <w:rsid w:val="00DB5719"/>
    <w:rsid w:val="00DD1807"/>
    <w:rsid w:val="00DD5513"/>
    <w:rsid w:val="00DD736E"/>
    <w:rsid w:val="00DE30E2"/>
    <w:rsid w:val="00E14A7F"/>
    <w:rsid w:val="00E150D7"/>
    <w:rsid w:val="00E27215"/>
    <w:rsid w:val="00E37B21"/>
    <w:rsid w:val="00E40DAA"/>
    <w:rsid w:val="00E4689F"/>
    <w:rsid w:val="00E84DAD"/>
    <w:rsid w:val="00E96D1C"/>
    <w:rsid w:val="00EA18F3"/>
    <w:rsid w:val="00EB01EB"/>
    <w:rsid w:val="00ED20DB"/>
    <w:rsid w:val="00ED7642"/>
    <w:rsid w:val="00EF08B9"/>
    <w:rsid w:val="00F27CFC"/>
    <w:rsid w:val="00F44CA9"/>
    <w:rsid w:val="00F66BE1"/>
    <w:rsid w:val="00F86F41"/>
    <w:rsid w:val="00F86F65"/>
    <w:rsid w:val="00FB3BBA"/>
    <w:rsid w:val="00FC2F89"/>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ingitalics">
    <w:name w:val="Heading italics"/>
    <w:basedOn w:val="Heading2"/>
    <w:link w:val="HeadingitalicsChar"/>
    <w:qFormat/>
    <w:rsid w:val="003404B0"/>
    <w:rPr>
      <w:i/>
      <w:iCs/>
      <w:sz w:val="24"/>
      <w:szCs w:val="24"/>
      <w:lang w:val="en-AU"/>
    </w:rPr>
  </w:style>
  <w:style w:type="character" w:customStyle="1" w:styleId="HeadingitalicsChar">
    <w:name w:val="Heading italics Char"/>
    <w:basedOn w:val="Heading2Char"/>
    <w:link w:val="Headingitalics"/>
    <w:rsid w:val="003404B0"/>
    <w:rPr>
      <w:rFonts w:ascii="Calibri" w:eastAsia="Calibri" w:hAnsi="Calibri" w:cs="Calibri"/>
      <w:b/>
      <w:i/>
      <w:iCs/>
      <w:noProof/>
      <w:color w:val="519B4B"/>
      <w:w w:val="105"/>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purpleorange.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luesinaction.org.au/application/files/7614/7253/8281/Model_of_Citizenhood_Support_2nd_Edition_FINAL.pdf"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B9AB-0400-428A-B9E1-EDB81D6C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9</cp:revision>
  <cp:lastPrinted>2019-12-11T01:44:00Z</cp:lastPrinted>
  <dcterms:created xsi:type="dcterms:W3CDTF">2020-01-02T00:19:00Z</dcterms:created>
  <dcterms:modified xsi:type="dcterms:W3CDTF">2020-01-03T06:13:00Z</dcterms:modified>
</cp:coreProperties>
</file>