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2362A1" w:rsidRDefault="00BB63F3" w:rsidP="00A674F6">
      <w:pPr>
        <w:pStyle w:val="Heading10"/>
        <w:spacing w:after="120" w:line="240" w:lineRule="auto"/>
        <w:rPr>
          <w:rFonts w:asciiTheme="minorHAnsi" w:hAnsiTheme="minorHAnsi" w:cstheme="minorHAnsi"/>
          <w:sz w:val="32"/>
          <w:szCs w:val="32"/>
        </w:rPr>
      </w:pPr>
      <w:r w:rsidRPr="002362A1">
        <w:rPr>
          <w:rFonts w:asciiTheme="minorHAnsi" w:hAnsiTheme="minorHAnsi" w:cstheme="minorHAnsi"/>
          <w:sz w:val="32"/>
          <w:szCs w:val="32"/>
        </w:rPr>
        <w:t>Inclusive School Practices Toolkit</w:t>
      </w:r>
    </w:p>
    <w:p w14:paraId="001A7045" w14:textId="7900324D" w:rsidR="00B329F6" w:rsidRPr="002362A1" w:rsidRDefault="00490633" w:rsidP="00A674F6">
      <w:pPr>
        <w:pStyle w:val="Heading10"/>
        <w:spacing w:after="120" w:line="240" w:lineRule="auto"/>
        <w:rPr>
          <w:rFonts w:asciiTheme="minorHAnsi" w:hAnsiTheme="minorHAnsi" w:cstheme="minorHAnsi"/>
          <w:sz w:val="48"/>
          <w:szCs w:val="48"/>
        </w:rPr>
      </w:pPr>
      <w:bookmarkStart w:id="0" w:name="_Hlk26954774"/>
      <w:r w:rsidRPr="002362A1">
        <w:rPr>
          <w:rFonts w:asciiTheme="minorHAnsi" w:hAnsiTheme="minorHAnsi" w:cstheme="minorHAnsi"/>
          <w:sz w:val="48"/>
          <w:szCs w:val="48"/>
        </w:rPr>
        <w:t>Context of a Good Life – Personhood and Citizenhood</w:t>
      </w:r>
    </w:p>
    <w:bookmarkEnd w:id="0"/>
    <w:p w14:paraId="1222DD9D" w14:textId="2C58DCE8" w:rsidR="00BB63F3" w:rsidRPr="002362A1" w:rsidRDefault="00BB63F3" w:rsidP="00A674F6">
      <w:pPr>
        <w:spacing w:after="120" w:line="240" w:lineRule="auto"/>
        <w:ind w:left="0" w:right="0" w:firstLine="0"/>
        <w:rPr>
          <w:rFonts w:asciiTheme="minorHAnsi" w:eastAsia="Calibri" w:hAnsiTheme="minorHAnsi" w:cstheme="minorHAnsi"/>
          <w:color w:val="auto"/>
          <w:szCs w:val="24"/>
        </w:rPr>
      </w:pPr>
      <w:r w:rsidRPr="002362A1">
        <w:rPr>
          <w:rFonts w:asciiTheme="minorHAnsi" w:eastAsia="Calibri" w:hAnsiTheme="minorHAnsi" w:cstheme="minorHAnsi"/>
          <w:color w:val="auto"/>
          <w:szCs w:val="24"/>
        </w:rPr>
        <w:t xml:space="preserve">This tool has been developed as part of the </w:t>
      </w:r>
      <w:r w:rsidRPr="002362A1">
        <w:rPr>
          <w:rFonts w:asciiTheme="minorHAnsi" w:eastAsia="Calibri" w:hAnsiTheme="minorHAnsi" w:cstheme="minorHAnsi"/>
          <w:i/>
          <w:color w:val="auto"/>
          <w:szCs w:val="24"/>
        </w:rPr>
        <w:t xml:space="preserve">Inclusive School Communities </w:t>
      </w:r>
      <w:r w:rsidR="007303B1" w:rsidRPr="002362A1">
        <w:rPr>
          <w:rFonts w:asciiTheme="minorHAnsi" w:eastAsia="Calibri" w:hAnsiTheme="minorHAnsi" w:cstheme="minorHAnsi"/>
          <w:i/>
          <w:color w:val="auto"/>
          <w:szCs w:val="24"/>
        </w:rPr>
        <w:t>P</w:t>
      </w:r>
      <w:r w:rsidRPr="002362A1">
        <w:rPr>
          <w:rFonts w:asciiTheme="minorHAnsi" w:eastAsia="Calibri" w:hAnsiTheme="minorHAnsi" w:cstheme="minorHAnsi"/>
          <w:i/>
          <w:color w:val="auto"/>
          <w:szCs w:val="24"/>
        </w:rPr>
        <w:t>roject</w:t>
      </w:r>
      <w:r w:rsidRPr="002362A1">
        <w:rPr>
          <w:rFonts w:asciiTheme="minorHAnsi" w:eastAsia="Calibri" w:hAnsiTheme="minorHAnsi" w:cstheme="minorHAnsi"/>
          <w:color w:val="auto"/>
          <w:szCs w:val="24"/>
        </w:rPr>
        <w:t xml:space="preserve">, funded by the National Disability Insurance Agency. The project is </w:t>
      </w:r>
      <w:r w:rsidR="007303B1" w:rsidRPr="002362A1">
        <w:rPr>
          <w:rFonts w:asciiTheme="minorHAnsi" w:eastAsia="Calibri" w:hAnsiTheme="minorHAnsi" w:cstheme="minorHAnsi"/>
          <w:color w:val="auto"/>
          <w:szCs w:val="24"/>
        </w:rPr>
        <w:t>led</w:t>
      </w:r>
      <w:r w:rsidRPr="002362A1">
        <w:rPr>
          <w:rFonts w:asciiTheme="minorHAnsi" w:eastAsia="Calibri" w:hAnsiTheme="minorHAnsi" w:cstheme="minorHAnsi"/>
          <w:color w:val="auto"/>
          <w:szCs w:val="24"/>
        </w:rPr>
        <w:t xml:space="preserve"> by JFA Purple Orange.</w:t>
      </w:r>
    </w:p>
    <w:p w14:paraId="15E93C76" w14:textId="77777777" w:rsidR="007303B1" w:rsidRPr="002362A1" w:rsidRDefault="007303B1" w:rsidP="00A674F6">
      <w:pPr>
        <w:spacing w:after="120" w:line="240" w:lineRule="auto"/>
        <w:ind w:left="0" w:right="0" w:firstLine="0"/>
        <w:rPr>
          <w:rFonts w:asciiTheme="minorHAnsi" w:eastAsia="Calibri" w:hAnsiTheme="minorHAnsi" w:cstheme="minorHAnsi"/>
          <w:color w:val="auto"/>
          <w:szCs w:val="24"/>
        </w:rPr>
      </w:pPr>
    </w:p>
    <w:p w14:paraId="1151C316" w14:textId="015C7123" w:rsidR="00293303" w:rsidRPr="002362A1" w:rsidRDefault="007A2C9C" w:rsidP="00A674F6">
      <w:pPr>
        <w:pStyle w:val="Heading2"/>
        <w:spacing w:before="0" w:after="120" w:line="240" w:lineRule="auto"/>
        <w:ind w:left="0"/>
        <w:rPr>
          <w:rFonts w:asciiTheme="minorHAnsi" w:hAnsiTheme="minorHAnsi" w:cstheme="minorHAnsi"/>
        </w:rPr>
      </w:pPr>
      <w:r w:rsidRPr="002362A1">
        <w:rPr>
          <w:rFonts w:asciiTheme="minorHAnsi" w:hAnsiTheme="minorHAnsi" w:cstheme="minorHAnsi"/>
        </w:rPr>
        <w:t>Introduction</w:t>
      </w:r>
    </w:p>
    <w:p w14:paraId="1F742ACA" w14:textId="0900D6EB" w:rsidR="00506CB4" w:rsidRPr="00506CB4" w:rsidRDefault="00506CB4" w:rsidP="00A674F6">
      <w:pPr>
        <w:spacing w:after="120" w:line="240" w:lineRule="auto"/>
        <w:ind w:left="0" w:right="0" w:firstLine="0"/>
        <w:rPr>
          <w:rFonts w:asciiTheme="minorHAnsi" w:hAnsiTheme="minorHAnsi" w:cstheme="minorHAnsi"/>
          <w:szCs w:val="24"/>
          <w:lang w:val="en-AU"/>
        </w:rPr>
      </w:pPr>
      <w:r w:rsidRPr="002362A1">
        <w:rPr>
          <w:rFonts w:asciiTheme="minorHAnsi" w:hAnsiTheme="minorHAnsi" w:cstheme="minorHAnsi"/>
          <w:szCs w:val="24"/>
          <w:lang w:val="en-AU"/>
        </w:rPr>
        <w:t xml:space="preserve">This tool is an overview of </w:t>
      </w:r>
      <w:r w:rsidRPr="001A5809">
        <w:rPr>
          <w:rFonts w:asciiTheme="minorHAnsi" w:hAnsiTheme="minorHAnsi" w:cstheme="minorHAnsi"/>
          <w:szCs w:val="24"/>
          <w:lang w:val="en-AU"/>
        </w:rPr>
        <w:t xml:space="preserve">the </w:t>
      </w:r>
      <w:r w:rsidRPr="001A5809">
        <w:rPr>
          <w:rFonts w:asciiTheme="minorHAnsi" w:hAnsiTheme="minorHAnsi" w:cstheme="minorHAnsi"/>
          <w:i/>
          <w:iCs/>
          <w:szCs w:val="24"/>
          <w:lang w:val="en-AU"/>
        </w:rPr>
        <w:t>Model of Citizenhood Support 2</w:t>
      </w:r>
      <w:r w:rsidRPr="001A5809">
        <w:rPr>
          <w:rFonts w:asciiTheme="minorHAnsi" w:hAnsiTheme="minorHAnsi" w:cstheme="minorHAnsi"/>
          <w:i/>
          <w:iCs/>
          <w:szCs w:val="24"/>
          <w:vertAlign w:val="superscript"/>
          <w:lang w:val="en-AU"/>
        </w:rPr>
        <w:t>nd</w:t>
      </w:r>
      <w:r w:rsidRPr="001A5809">
        <w:rPr>
          <w:rFonts w:asciiTheme="minorHAnsi" w:hAnsiTheme="minorHAnsi" w:cstheme="minorHAnsi"/>
          <w:i/>
          <w:iCs/>
          <w:szCs w:val="24"/>
          <w:lang w:val="en-AU"/>
        </w:rPr>
        <w:t xml:space="preserve"> Edition</w:t>
      </w:r>
      <w:r w:rsidRPr="002362A1">
        <w:rPr>
          <w:rFonts w:asciiTheme="minorHAnsi" w:hAnsiTheme="minorHAnsi" w:cstheme="minorHAnsi"/>
          <w:szCs w:val="24"/>
          <w:lang w:val="en-AU"/>
        </w:rPr>
        <w:t xml:space="preserve"> (the Model)</w:t>
      </w:r>
      <w:r w:rsidRPr="002362A1">
        <w:rPr>
          <w:rFonts w:asciiTheme="minorHAnsi" w:hAnsiTheme="minorHAnsi" w:cstheme="minorHAnsi"/>
          <w:szCs w:val="24"/>
          <w:vertAlign w:val="superscript"/>
          <w:lang w:val="en-AU"/>
        </w:rPr>
        <w:t xml:space="preserve"> </w:t>
      </w:r>
      <w:r w:rsidRPr="002362A1">
        <w:rPr>
          <w:rFonts w:asciiTheme="minorHAnsi" w:hAnsiTheme="minorHAnsi" w:cstheme="minorHAnsi"/>
          <w:szCs w:val="24"/>
          <w:vertAlign w:val="superscript"/>
          <w:lang w:val="en-AU"/>
        </w:rPr>
        <w:footnoteReference w:id="1"/>
      </w:r>
      <w:r w:rsidRPr="002362A1">
        <w:rPr>
          <w:rFonts w:asciiTheme="minorHAnsi" w:hAnsiTheme="minorHAnsi" w:cstheme="minorHAnsi"/>
          <w:szCs w:val="24"/>
          <w:lang w:val="en-AU"/>
        </w:rPr>
        <w:t xml:space="preserve">; a framework for advancing people’s life chances and moving people into good, valued lives. </w:t>
      </w:r>
    </w:p>
    <w:p w14:paraId="2896DBA7" w14:textId="3CFBF066" w:rsidR="00506CB4" w:rsidRPr="00506CB4" w:rsidRDefault="00506CB4" w:rsidP="00A674F6">
      <w:pPr>
        <w:spacing w:after="120" w:line="240" w:lineRule="auto"/>
        <w:ind w:left="0" w:right="0" w:firstLine="0"/>
        <w:rPr>
          <w:rFonts w:asciiTheme="minorHAnsi" w:hAnsiTheme="minorHAnsi" w:cstheme="minorHAnsi"/>
          <w:szCs w:val="24"/>
          <w:lang w:val="en-AU"/>
        </w:rPr>
      </w:pPr>
      <w:r w:rsidRPr="00506CB4">
        <w:rPr>
          <w:rFonts w:asciiTheme="minorHAnsi" w:hAnsiTheme="minorHAnsi" w:cstheme="minorHAnsi"/>
          <w:szCs w:val="24"/>
          <w:lang w:val="en-AU"/>
        </w:rPr>
        <w:t xml:space="preserve">This tool has been developed because the </w:t>
      </w:r>
      <w:r w:rsidR="001A5809">
        <w:rPr>
          <w:rFonts w:asciiTheme="minorHAnsi" w:hAnsiTheme="minorHAnsi" w:cstheme="minorHAnsi"/>
          <w:iCs/>
          <w:szCs w:val="24"/>
          <w:lang w:val="en-AU"/>
        </w:rPr>
        <w:t xml:space="preserve">Model </w:t>
      </w:r>
      <w:r w:rsidRPr="00506CB4">
        <w:rPr>
          <w:rFonts w:asciiTheme="minorHAnsi" w:hAnsiTheme="minorHAnsi" w:cstheme="minorHAnsi"/>
          <w:szCs w:val="24"/>
          <w:lang w:val="en-AU"/>
        </w:rPr>
        <w:t xml:space="preserve">is relevant to school staff </w:t>
      </w:r>
      <w:r w:rsidR="00B41DEA" w:rsidRPr="00B41DEA">
        <w:rPr>
          <w:rFonts w:asciiTheme="minorHAnsi" w:hAnsiTheme="minorHAnsi" w:cstheme="minorHAnsi"/>
          <w:szCs w:val="24"/>
          <w:lang w:val="en-AU"/>
        </w:rPr>
        <w:t xml:space="preserve">(leaders, educators, teacher aides, office staff, and other site staff) </w:t>
      </w:r>
      <w:r w:rsidRPr="00506CB4">
        <w:rPr>
          <w:rFonts w:asciiTheme="minorHAnsi" w:hAnsiTheme="minorHAnsi" w:cstheme="minorHAnsi"/>
          <w:szCs w:val="24"/>
          <w:lang w:val="en-AU"/>
        </w:rPr>
        <w:t>working with young people who may be at risk of being excluded because of their circumstances.</w:t>
      </w:r>
    </w:p>
    <w:p w14:paraId="3E755A9A" w14:textId="77777777" w:rsidR="00506CB4" w:rsidRPr="00506CB4" w:rsidRDefault="00506CB4" w:rsidP="00A674F6">
      <w:pPr>
        <w:spacing w:after="120" w:line="240" w:lineRule="auto"/>
        <w:ind w:left="0" w:right="0" w:firstLine="0"/>
        <w:rPr>
          <w:rFonts w:asciiTheme="minorHAnsi" w:hAnsiTheme="minorHAnsi" w:cstheme="minorHAnsi"/>
          <w:szCs w:val="24"/>
          <w:lang w:val="en-AU"/>
        </w:rPr>
      </w:pPr>
      <w:r w:rsidRPr="00506CB4">
        <w:rPr>
          <w:rFonts w:asciiTheme="minorHAnsi" w:hAnsiTheme="minorHAnsi" w:cstheme="minorHAnsi"/>
          <w:szCs w:val="24"/>
          <w:lang w:val="en-AU"/>
        </w:rPr>
        <w:t xml:space="preserve">An understanding of the Model and intentionally embedding its components in education settings can increase the assets and opportunities available to young people living with increased vulnerability.  </w:t>
      </w:r>
    </w:p>
    <w:p w14:paraId="45C8D8EA" w14:textId="3721A3FB" w:rsidR="00267E9E" w:rsidRPr="002362A1" w:rsidRDefault="007A2C9C" w:rsidP="00A674F6">
      <w:pPr>
        <w:spacing w:after="120" w:line="240" w:lineRule="auto"/>
        <w:ind w:left="0" w:right="0" w:firstLine="0"/>
        <w:rPr>
          <w:rFonts w:asciiTheme="minorHAnsi" w:hAnsiTheme="minorHAnsi" w:cstheme="minorHAnsi"/>
          <w:szCs w:val="24"/>
        </w:rPr>
      </w:pPr>
      <w:r w:rsidRPr="002362A1">
        <w:rPr>
          <w:rFonts w:asciiTheme="minorHAnsi" w:hAnsiTheme="minorHAnsi" w:cstheme="minorHAnsi"/>
          <w:szCs w:val="24"/>
        </w:rPr>
        <w:t xml:space="preserve">   </w:t>
      </w:r>
    </w:p>
    <w:p w14:paraId="4C300C1C" w14:textId="3F896EF1" w:rsidR="007A2C9C" w:rsidRPr="002362A1" w:rsidRDefault="007A2C9C" w:rsidP="00A674F6">
      <w:pPr>
        <w:pStyle w:val="Heading2"/>
        <w:spacing w:before="0" w:after="120" w:line="240" w:lineRule="auto"/>
        <w:ind w:left="0"/>
        <w:rPr>
          <w:rFonts w:asciiTheme="minorHAnsi" w:hAnsiTheme="minorHAnsi" w:cstheme="minorHAnsi"/>
        </w:rPr>
      </w:pPr>
      <w:r w:rsidRPr="002362A1">
        <w:rPr>
          <w:rFonts w:asciiTheme="minorHAnsi" w:hAnsiTheme="minorHAnsi" w:cstheme="minorHAnsi"/>
        </w:rPr>
        <w:t xml:space="preserve">Ideas </w:t>
      </w:r>
    </w:p>
    <w:p w14:paraId="09DE3DA2" w14:textId="41C71B10"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The Model contemplates how best to support pe</w:t>
      </w:r>
      <w:r w:rsidR="004658F4">
        <w:rPr>
          <w:rFonts w:asciiTheme="minorHAnsi" w:eastAsia="Calibri" w:hAnsiTheme="minorHAnsi" w:cstheme="minorHAnsi"/>
          <w:color w:val="auto"/>
          <w:szCs w:val="24"/>
          <w:lang w:val="en-AU"/>
        </w:rPr>
        <w:t>ople</w:t>
      </w:r>
      <w:r w:rsidRPr="00506CB4">
        <w:rPr>
          <w:rFonts w:asciiTheme="minorHAnsi" w:eastAsia="Calibri" w:hAnsiTheme="minorHAnsi" w:cstheme="minorHAnsi"/>
          <w:color w:val="auto"/>
          <w:szCs w:val="24"/>
          <w:lang w:val="en-AU"/>
        </w:rPr>
        <w:t xml:space="preserve"> living with increased vulnerability.</w:t>
      </w:r>
      <w:r w:rsidR="004658F4">
        <w:rPr>
          <w:rFonts w:asciiTheme="minorHAnsi" w:eastAsia="Calibri" w:hAnsiTheme="minorHAnsi" w:cstheme="minorHAnsi"/>
          <w:color w:val="auto"/>
          <w:szCs w:val="24"/>
          <w:lang w:val="en-AU"/>
        </w:rPr>
        <w:t xml:space="preserve"> </w:t>
      </w:r>
      <w:r w:rsidRPr="00506CB4">
        <w:rPr>
          <w:rFonts w:asciiTheme="minorHAnsi" w:eastAsia="Calibri" w:hAnsiTheme="minorHAnsi" w:cstheme="minorHAnsi"/>
          <w:color w:val="auto"/>
          <w:szCs w:val="24"/>
          <w:lang w:val="en-AU"/>
        </w:rPr>
        <w:t xml:space="preserve">In this context, vulnerability is defined as the presence of circumstances that can adversely impact on the person's capacity to build their own lives and take up valued roles in the community and economy. Examples of circumstances that can increase a person’s vulnerability are disability, older age, poverty, homelessness, cultural and/or geographic dislocation, and loneliness.  </w:t>
      </w:r>
    </w:p>
    <w:p w14:paraId="47E67950" w14:textId="2B63EBB5"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The Model is based on the belief that every person seeks to build a good life for themselves. The Model is a helpful way to understand the assets and opportunities available to a person, particularly those with increased vulnerability. It has been designed for use by formal agencies and agents who provide support to people living with increased vulnerability, to find their way to genuinely helpful practices</w:t>
      </w:r>
      <w:r w:rsidR="00C224F8">
        <w:rPr>
          <w:rFonts w:asciiTheme="minorHAnsi" w:eastAsia="Calibri" w:hAnsiTheme="minorHAnsi" w:cstheme="minorHAnsi"/>
          <w:color w:val="auto"/>
          <w:szCs w:val="24"/>
          <w:lang w:val="en-AU"/>
        </w:rPr>
        <w:t>. T</w:t>
      </w:r>
      <w:r w:rsidR="00B41DEA">
        <w:rPr>
          <w:rFonts w:asciiTheme="minorHAnsi" w:eastAsia="Calibri" w:hAnsiTheme="minorHAnsi" w:cstheme="minorHAnsi"/>
          <w:color w:val="auto"/>
          <w:szCs w:val="24"/>
          <w:lang w:val="en-AU"/>
        </w:rPr>
        <w:t>his</w:t>
      </w:r>
      <w:r w:rsidRPr="00506CB4">
        <w:rPr>
          <w:rFonts w:asciiTheme="minorHAnsi" w:eastAsia="Calibri" w:hAnsiTheme="minorHAnsi" w:cstheme="minorHAnsi"/>
          <w:color w:val="auto"/>
          <w:szCs w:val="24"/>
          <w:lang w:val="en-AU"/>
        </w:rPr>
        <w:t xml:space="preserve"> includes schools and </w:t>
      </w:r>
      <w:r w:rsidR="00B41DEA">
        <w:rPr>
          <w:rFonts w:asciiTheme="minorHAnsi" w:eastAsia="Calibri" w:hAnsiTheme="minorHAnsi" w:cstheme="minorHAnsi"/>
          <w:color w:val="auto"/>
          <w:szCs w:val="24"/>
          <w:lang w:val="en-AU"/>
        </w:rPr>
        <w:t>their staff</w:t>
      </w:r>
      <w:r w:rsidRPr="00506CB4">
        <w:rPr>
          <w:rFonts w:asciiTheme="minorHAnsi" w:eastAsia="Calibri" w:hAnsiTheme="minorHAnsi" w:cstheme="minorHAnsi"/>
          <w:color w:val="auto"/>
          <w:szCs w:val="24"/>
          <w:lang w:val="en-AU"/>
        </w:rPr>
        <w:t>.</w:t>
      </w:r>
    </w:p>
    <w:p w14:paraId="6FC8BFE9" w14:textId="77777777"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As set out in the Model, a good life is characterised by the presence of:</w:t>
      </w:r>
    </w:p>
    <w:p w14:paraId="03774349" w14:textId="77777777" w:rsidR="00506CB4" w:rsidRPr="00506CB4" w:rsidRDefault="00506CB4" w:rsidP="00A674F6">
      <w:pPr>
        <w:spacing w:after="120" w:line="240" w:lineRule="auto"/>
        <w:ind w:right="0"/>
        <w:rPr>
          <w:rFonts w:asciiTheme="minorHAnsi" w:eastAsia="Calibri" w:hAnsiTheme="minorHAnsi" w:cstheme="minorHAnsi"/>
          <w:b/>
          <w:color w:val="auto"/>
          <w:szCs w:val="24"/>
          <w:lang w:val="en-AU"/>
        </w:rPr>
      </w:pPr>
      <w:r w:rsidRPr="00506CB4">
        <w:rPr>
          <w:rStyle w:val="HeadinggreenitalicsChar"/>
          <w:rFonts w:asciiTheme="minorHAnsi" w:hAnsiTheme="minorHAnsi" w:cstheme="minorHAnsi"/>
          <w:lang w:val="en-AU"/>
        </w:rPr>
        <w:t>Personhood -</w:t>
      </w:r>
      <w:r w:rsidRPr="00506CB4">
        <w:rPr>
          <w:rFonts w:asciiTheme="minorHAnsi" w:eastAsia="Calibri" w:hAnsiTheme="minorHAnsi" w:cstheme="minorHAnsi"/>
          <w:b/>
          <w:color w:val="auto"/>
          <w:szCs w:val="24"/>
          <w:lang w:val="en-AU"/>
        </w:rPr>
        <w:t xml:space="preserve"> </w:t>
      </w:r>
      <w:r w:rsidRPr="00506CB4">
        <w:rPr>
          <w:rFonts w:asciiTheme="minorHAnsi" w:eastAsia="Calibri" w:hAnsiTheme="minorHAnsi" w:cstheme="minorHAnsi"/>
          <w:color w:val="auto"/>
          <w:szCs w:val="24"/>
          <w:lang w:val="en-AU"/>
        </w:rPr>
        <w:t>Having authorship of an individual’s own life</w:t>
      </w:r>
    </w:p>
    <w:p w14:paraId="115D01E4" w14:textId="77777777" w:rsidR="00506CB4" w:rsidRPr="00506CB4" w:rsidRDefault="00506CB4" w:rsidP="00A674F6">
      <w:pPr>
        <w:spacing w:after="120" w:line="240" w:lineRule="auto"/>
        <w:ind w:right="0"/>
        <w:rPr>
          <w:rFonts w:asciiTheme="minorHAnsi" w:eastAsia="Calibri" w:hAnsiTheme="minorHAnsi" w:cstheme="minorHAnsi"/>
          <w:b/>
          <w:color w:val="auto"/>
          <w:szCs w:val="24"/>
          <w:lang w:val="en-AU"/>
        </w:rPr>
      </w:pPr>
      <w:r w:rsidRPr="00506CB4">
        <w:rPr>
          <w:rStyle w:val="HeadinggreenitalicsChar"/>
          <w:rFonts w:asciiTheme="minorHAnsi" w:hAnsiTheme="minorHAnsi" w:cstheme="minorHAnsi"/>
          <w:lang w:val="en-AU"/>
        </w:rPr>
        <w:t>Citizenhood -</w:t>
      </w:r>
      <w:r w:rsidRPr="00506CB4">
        <w:rPr>
          <w:rFonts w:asciiTheme="minorHAnsi" w:eastAsia="Calibri" w:hAnsiTheme="minorHAnsi" w:cstheme="minorHAnsi"/>
          <w:b/>
          <w:color w:val="auto"/>
          <w:szCs w:val="24"/>
          <w:lang w:val="en-AU"/>
        </w:rPr>
        <w:t xml:space="preserve"> </w:t>
      </w:r>
      <w:r w:rsidRPr="00506CB4">
        <w:rPr>
          <w:rFonts w:asciiTheme="minorHAnsi" w:eastAsia="Calibri" w:hAnsiTheme="minorHAnsi" w:cstheme="minorHAnsi"/>
          <w:color w:val="auto"/>
          <w:szCs w:val="24"/>
          <w:lang w:val="en-AU"/>
        </w:rPr>
        <w:t>Having valued roles in community life and the economy</w:t>
      </w:r>
    </w:p>
    <w:p w14:paraId="381E4E69" w14:textId="77777777"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 xml:space="preserve">Citizenhood reflects a situation where a person: </w:t>
      </w:r>
    </w:p>
    <w:p w14:paraId="7DB2F007" w14:textId="77777777" w:rsidR="00506CB4" w:rsidRPr="00506CB4" w:rsidRDefault="00506CB4" w:rsidP="00A674F6">
      <w:pPr>
        <w:numPr>
          <w:ilvl w:val="0"/>
          <w:numId w:val="12"/>
        </w:numPr>
        <w:spacing w:after="120" w:line="240" w:lineRule="auto"/>
        <w:ind w:right="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leads an active and fulfilling lifestyle</w:t>
      </w:r>
    </w:p>
    <w:p w14:paraId="54AF2D3C" w14:textId="77777777" w:rsidR="00506CB4" w:rsidRPr="00506CB4" w:rsidRDefault="00506CB4" w:rsidP="00A674F6">
      <w:pPr>
        <w:numPr>
          <w:ilvl w:val="0"/>
          <w:numId w:val="12"/>
        </w:numPr>
        <w:spacing w:after="120" w:line="240" w:lineRule="auto"/>
        <w:ind w:right="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lastRenderedPageBreak/>
        <w:t>exercises choice and control over how they live</w:t>
      </w:r>
    </w:p>
    <w:p w14:paraId="5F6737D4" w14:textId="77777777" w:rsidR="00506CB4" w:rsidRPr="00506CB4" w:rsidRDefault="00506CB4" w:rsidP="00A674F6">
      <w:pPr>
        <w:numPr>
          <w:ilvl w:val="0"/>
          <w:numId w:val="12"/>
        </w:numPr>
        <w:spacing w:after="120" w:line="240" w:lineRule="auto"/>
        <w:ind w:right="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contributes and grows through their involvement in meaningful activities</w:t>
      </w:r>
    </w:p>
    <w:p w14:paraId="15D5A279" w14:textId="77777777" w:rsidR="00506CB4" w:rsidRPr="00506CB4" w:rsidRDefault="00506CB4" w:rsidP="00A674F6">
      <w:pPr>
        <w:numPr>
          <w:ilvl w:val="0"/>
          <w:numId w:val="12"/>
        </w:numPr>
        <w:spacing w:after="120" w:line="240" w:lineRule="auto"/>
        <w:ind w:right="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participates in a network of relationships characterised by acceptance, belonging and love</w:t>
      </w:r>
    </w:p>
    <w:p w14:paraId="48279A40" w14:textId="73BC772C"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Unlike citizen</w:t>
      </w:r>
      <w:r w:rsidRPr="00506CB4">
        <w:rPr>
          <w:rFonts w:asciiTheme="minorHAnsi" w:eastAsia="Calibri" w:hAnsiTheme="minorHAnsi" w:cstheme="minorHAnsi"/>
          <w:i/>
          <w:iCs/>
          <w:color w:val="auto"/>
          <w:szCs w:val="24"/>
          <w:lang w:val="en-AU"/>
        </w:rPr>
        <w:t>ship</w:t>
      </w:r>
      <w:r w:rsidRPr="00506CB4">
        <w:rPr>
          <w:rFonts w:asciiTheme="minorHAnsi" w:eastAsia="Calibri" w:hAnsiTheme="minorHAnsi" w:cstheme="minorHAnsi"/>
          <w:color w:val="auto"/>
          <w:szCs w:val="24"/>
          <w:lang w:val="en-AU"/>
        </w:rPr>
        <w:t>, Citizen</w:t>
      </w:r>
      <w:r w:rsidRPr="00506CB4">
        <w:rPr>
          <w:rFonts w:asciiTheme="minorHAnsi" w:eastAsia="Calibri" w:hAnsiTheme="minorHAnsi" w:cstheme="minorHAnsi"/>
          <w:i/>
          <w:iCs/>
          <w:color w:val="auto"/>
          <w:szCs w:val="24"/>
          <w:lang w:val="en-AU"/>
        </w:rPr>
        <w:t>hood</w:t>
      </w:r>
      <w:r w:rsidRPr="00506CB4">
        <w:rPr>
          <w:rFonts w:asciiTheme="minorHAnsi" w:eastAsia="Calibri" w:hAnsiTheme="minorHAnsi" w:cstheme="minorHAnsi"/>
          <w:color w:val="auto"/>
          <w:szCs w:val="24"/>
          <w:lang w:val="en-AU"/>
        </w:rPr>
        <w:t xml:space="preserve"> is a dynamic experience; it can rise and fall depending on the person’s circumstances. For example, a person who becomes unwell because of a bug may have to take some time off work, may have to miss a social event with friends, etc</w:t>
      </w:r>
      <w:r w:rsidR="00C224F8">
        <w:rPr>
          <w:rFonts w:asciiTheme="minorHAnsi" w:eastAsia="Calibri" w:hAnsiTheme="minorHAnsi" w:cstheme="minorHAnsi"/>
          <w:color w:val="auto"/>
          <w:szCs w:val="24"/>
          <w:lang w:val="en-AU"/>
        </w:rPr>
        <w:t>; i</w:t>
      </w:r>
      <w:r w:rsidRPr="00506CB4">
        <w:rPr>
          <w:rFonts w:asciiTheme="minorHAnsi" w:eastAsia="Calibri" w:hAnsiTheme="minorHAnsi" w:cstheme="minorHAnsi"/>
          <w:color w:val="auto"/>
          <w:szCs w:val="24"/>
          <w:lang w:val="en-AU"/>
        </w:rPr>
        <w:t>n these ways, the bug causes a temporary dip in the person’s Citizenhood.  However, once the bug has passed the person can reconnect into these roles.</w:t>
      </w:r>
    </w:p>
    <w:p w14:paraId="0FBEC6EE" w14:textId="3E79756F"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A bigger adverse impact on a person’s Citizenhood can come from becoming unemployed for a long period of time, which impacts on all aspects of a person’s life, economically, socially, and in terms of self-esteem and outlook.</w:t>
      </w:r>
    </w:p>
    <w:p w14:paraId="1563425F" w14:textId="452F0B08"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In a school setting, an experience that can have an adverse impact on a student’s Citizenhood is bullying.  Through its various forms, bullying can have an adverse impact on the student’s relationships, resources and self-belief.  When bullying is sustained, it can lead to a bullied student feeling a sense of powerlessness, hopelessness, and uselessness, which can have dramatic consequences.</w:t>
      </w:r>
      <w:r w:rsidR="004658F4">
        <w:rPr>
          <w:rFonts w:asciiTheme="minorHAnsi" w:eastAsia="Calibri" w:hAnsiTheme="minorHAnsi" w:cstheme="minorHAnsi"/>
          <w:color w:val="auto"/>
          <w:szCs w:val="24"/>
          <w:lang w:val="en-AU"/>
        </w:rPr>
        <w:t xml:space="preserve"> </w:t>
      </w:r>
      <w:r w:rsidRPr="00506CB4">
        <w:rPr>
          <w:rFonts w:asciiTheme="minorHAnsi" w:eastAsia="Calibri" w:hAnsiTheme="minorHAnsi" w:cstheme="minorHAnsi"/>
          <w:color w:val="auto"/>
          <w:szCs w:val="24"/>
          <w:lang w:val="en-AU"/>
        </w:rPr>
        <w:t>While a ‘zero tolerance’ to bullying may be sufficient to minimise the above risk to most students, there will likely be some students where that approach will not be enough to ensure that the student is a valued member of the student community</w:t>
      </w:r>
      <w:r w:rsidR="00C224F8">
        <w:rPr>
          <w:rFonts w:asciiTheme="minorHAnsi" w:eastAsia="Calibri" w:hAnsiTheme="minorHAnsi" w:cstheme="minorHAnsi"/>
          <w:color w:val="auto"/>
          <w:szCs w:val="24"/>
          <w:lang w:val="en-AU"/>
        </w:rPr>
        <w:t xml:space="preserve">; </w:t>
      </w:r>
      <w:r w:rsidRPr="00506CB4">
        <w:rPr>
          <w:rFonts w:asciiTheme="minorHAnsi" w:eastAsia="Calibri" w:hAnsiTheme="minorHAnsi" w:cstheme="minorHAnsi"/>
          <w:color w:val="auto"/>
          <w:szCs w:val="24"/>
          <w:lang w:val="en-AU"/>
        </w:rPr>
        <w:t>valued for who they are and having a network of friends.  This will be true for at least some students living with increased vulnerability due to disability, cultural dislocation, trauma, etc.</w:t>
      </w:r>
      <w:r w:rsidR="004658F4">
        <w:rPr>
          <w:rFonts w:asciiTheme="minorHAnsi" w:eastAsia="Calibri" w:hAnsiTheme="minorHAnsi" w:cstheme="minorHAnsi"/>
          <w:color w:val="auto"/>
          <w:szCs w:val="24"/>
          <w:lang w:val="en-AU"/>
        </w:rPr>
        <w:t xml:space="preserve"> </w:t>
      </w:r>
      <w:r w:rsidRPr="00506CB4">
        <w:rPr>
          <w:rFonts w:asciiTheme="minorHAnsi" w:eastAsia="Calibri" w:hAnsiTheme="minorHAnsi" w:cstheme="minorHAnsi"/>
          <w:color w:val="auto"/>
          <w:szCs w:val="24"/>
          <w:lang w:val="en-AU"/>
        </w:rPr>
        <w:t>In these circumstances the school can think about what types of investment might best support that student into Citizenhood, as a valued member of an inclusive school community.</w:t>
      </w:r>
    </w:p>
    <w:p w14:paraId="1BF5E87E" w14:textId="77777777"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To assist this, the Model asserts there are four main ways a school can increase a student’s chances of moving into Citizenhood.  These are termed the Four Capitals, and comprise:</w:t>
      </w:r>
    </w:p>
    <w:p w14:paraId="43E4E32B" w14:textId="1C6EAC7C" w:rsidR="00506CB4" w:rsidRPr="00506CB4" w:rsidRDefault="00506CB4" w:rsidP="00A674F6">
      <w:pPr>
        <w:spacing w:after="120" w:line="240" w:lineRule="auto"/>
        <w:ind w:right="0"/>
        <w:rPr>
          <w:rFonts w:asciiTheme="minorHAnsi" w:eastAsia="Calibri" w:hAnsiTheme="minorHAnsi" w:cstheme="minorHAnsi"/>
          <w:color w:val="auto"/>
          <w:szCs w:val="24"/>
          <w:lang w:val="en-AU"/>
        </w:rPr>
      </w:pPr>
      <w:r w:rsidRPr="00506CB4">
        <w:rPr>
          <w:rStyle w:val="HeadinggreenitalicsChar"/>
          <w:rFonts w:asciiTheme="minorHAnsi" w:hAnsiTheme="minorHAnsi" w:cstheme="minorHAnsi"/>
          <w:lang w:val="en-AU"/>
        </w:rPr>
        <w:t xml:space="preserve">Personal Capital – </w:t>
      </w:r>
      <w:r w:rsidR="007A16F5">
        <w:rPr>
          <w:rStyle w:val="HeadinggreenitalicsChar"/>
          <w:rFonts w:asciiTheme="minorHAnsi" w:hAnsiTheme="minorHAnsi" w:cstheme="minorHAnsi"/>
          <w:lang w:val="en-AU"/>
        </w:rPr>
        <w:t>H</w:t>
      </w:r>
      <w:r w:rsidRPr="00506CB4">
        <w:rPr>
          <w:rStyle w:val="HeadinggreenitalicsChar"/>
          <w:rFonts w:asciiTheme="minorHAnsi" w:hAnsiTheme="minorHAnsi" w:cstheme="minorHAnsi"/>
          <w:lang w:val="en-AU"/>
        </w:rPr>
        <w:t>ow the person sees themselves</w:t>
      </w:r>
      <w:r w:rsidRPr="00506CB4">
        <w:rPr>
          <w:rFonts w:asciiTheme="minorHAnsi" w:eastAsia="Calibri" w:hAnsiTheme="minorHAnsi" w:cstheme="minorHAnsi"/>
          <w:b/>
          <w:i/>
          <w:color w:val="auto"/>
          <w:szCs w:val="24"/>
          <w:lang w:val="en-AU"/>
        </w:rPr>
        <w:br/>
      </w:r>
      <w:r w:rsidR="004658F4">
        <w:rPr>
          <w:rFonts w:asciiTheme="minorHAnsi" w:eastAsia="Calibri" w:hAnsiTheme="minorHAnsi" w:cstheme="minorHAnsi"/>
          <w:color w:val="auto"/>
          <w:szCs w:val="24"/>
          <w:lang w:val="en-AU"/>
        </w:rPr>
        <w:t>I</w:t>
      </w:r>
      <w:r w:rsidRPr="00506CB4">
        <w:rPr>
          <w:rFonts w:asciiTheme="minorHAnsi" w:eastAsia="Calibri" w:hAnsiTheme="minorHAnsi" w:cstheme="minorHAnsi"/>
          <w:color w:val="auto"/>
          <w:szCs w:val="24"/>
          <w:lang w:val="en-AU"/>
        </w:rPr>
        <w:t xml:space="preserve">n a school context, this goes to how a school supports a student to believe in themselves, to easily see their own innate value as a human being, to acknowledge their own strengths and gifts, </w:t>
      </w:r>
      <w:r w:rsidR="00C224F8">
        <w:rPr>
          <w:rFonts w:asciiTheme="minorHAnsi" w:eastAsia="Calibri" w:hAnsiTheme="minorHAnsi" w:cstheme="minorHAnsi"/>
          <w:color w:val="auto"/>
          <w:szCs w:val="24"/>
          <w:lang w:val="en-AU"/>
        </w:rPr>
        <w:t xml:space="preserve">and </w:t>
      </w:r>
      <w:r w:rsidRPr="00506CB4">
        <w:rPr>
          <w:rFonts w:asciiTheme="minorHAnsi" w:eastAsia="Calibri" w:hAnsiTheme="minorHAnsi" w:cstheme="minorHAnsi"/>
          <w:color w:val="auto"/>
          <w:szCs w:val="24"/>
          <w:lang w:val="en-AU"/>
        </w:rPr>
        <w:t xml:space="preserve">to see their own potential to grow. For </w:t>
      </w:r>
      <w:r w:rsidR="00C224F8">
        <w:rPr>
          <w:rFonts w:asciiTheme="minorHAnsi" w:eastAsia="Calibri" w:hAnsiTheme="minorHAnsi" w:cstheme="minorHAnsi"/>
          <w:color w:val="auto"/>
          <w:szCs w:val="24"/>
          <w:lang w:val="en-AU"/>
        </w:rPr>
        <w:t>a</w:t>
      </w:r>
      <w:r w:rsidRPr="00506CB4">
        <w:rPr>
          <w:rFonts w:asciiTheme="minorHAnsi" w:eastAsia="Calibri" w:hAnsiTheme="minorHAnsi" w:cstheme="minorHAnsi"/>
          <w:color w:val="auto"/>
          <w:szCs w:val="24"/>
          <w:lang w:val="en-AU"/>
        </w:rPr>
        <w:t xml:space="preserve"> student living with disability, or other type of increased vulnerability, they may already have had a range of life experiences that have harmed their Personal Capital.  This then demands a higher level of mindfulness from </w:t>
      </w:r>
      <w:r w:rsidR="00B41DEA">
        <w:rPr>
          <w:rFonts w:asciiTheme="minorHAnsi" w:eastAsia="Calibri" w:hAnsiTheme="minorHAnsi" w:cstheme="minorHAnsi"/>
          <w:color w:val="auto"/>
          <w:szCs w:val="24"/>
          <w:lang w:val="en-AU"/>
        </w:rPr>
        <w:t>school staff</w:t>
      </w:r>
      <w:r w:rsidR="00C224F8">
        <w:rPr>
          <w:rFonts w:asciiTheme="minorHAnsi" w:eastAsia="Calibri" w:hAnsiTheme="minorHAnsi" w:cstheme="minorHAnsi"/>
          <w:color w:val="auto"/>
          <w:szCs w:val="24"/>
          <w:lang w:val="en-AU"/>
        </w:rPr>
        <w:t>, especially educators, who</w:t>
      </w:r>
      <w:r w:rsidR="00B41DEA">
        <w:rPr>
          <w:rFonts w:asciiTheme="minorHAnsi" w:eastAsia="Calibri" w:hAnsiTheme="minorHAnsi" w:cstheme="minorHAnsi"/>
          <w:color w:val="auto"/>
          <w:szCs w:val="24"/>
          <w:lang w:val="en-AU"/>
        </w:rPr>
        <w:t xml:space="preserve"> </w:t>
      </w:r>
      <w:r w:rsidR="00C224F8">
        <w:rPr>
          <w:rFonts w:asciiTheme="minorHAnsi" w:eastAsia="Calibri" w:hAnsiTheme="minorHAnsi" w:cstheme="minorHAnsi"/>
          <w:color w:val="auto"/>
          <w:szCs w:val="24"/>
          <w:lang w:val="en-AU"/>
        </w:rPr>
        <w:t>are engaging</w:t>
      </w:r>
      <w:r w:rsidR="00B41DEA">
        <w:rPr>
          <w:rFonts w:asciiTheme="minorHAnsi" w:eastAsia="Calibri" w:hAnsiTheme="minorHAnsi" w:cstheme="minorHAnsi"/>
          <w:color w:val="auto"/>
          <w:szCs w:val="24"/>
          <w:lang w:val="en-AU"/>
        </w:rPr>
        <w:t xml:space="preserve"> with them. </w:t>
      </w:r>
    </w:p>
    <w:p w14:paraId="3EEBC7B5" w14:textId="65A1A6CE" w:rsidR="00506CB4" w:rsidRPr="00506CB4" w:rsidRDefault="00506CB4" w:rsidP="00A674F6">
      <w:pPr>
        <w:spacing w:after="120" w:line="240" w:lineRule="auto"/>
        <w:ind w:right="0"/>
        <w:rPr>
          <w:rFonts w:asciiTheme="minorHAnsi" w:eastAsia="Calibri" w:hAnsiTheme="minorHAnsi" w:cstheme="minorHAnsi"/>
          <w:color w:val="auto"/>
          <w:szCs w:val="24"/>
          <w:lang w:val="en-AU"/>
        </w:rPr>
      </w:pPr>
      <w:r w:rsidRPr="00506CB4">
        <w:rPr>
          <w:rStyle w:val="HeadinggreenitalicsChar"/>
          <w:rFonts w:asciiTheme="minorHAnsi" w:hAnsiTheme="minorHAnsi" w:cstheme="minorHAnsi"/>
          <w:lang w:val="en-AU"/>
        </w:rPr>
        <w:t xml:space="preserve">Knowledge Capital – </w:t>
      </w:r>
      <w:r w:rsidR="007A16F5">
        <w:rPr>
          <w:rStyle w:val="HeadinggreenitalicsChar"/>
          <w:rFonts w:asciiTheme="minorHAnsi" w:hAnsiTheme="minorHAnsi" w:cstheme="minorHAnsi"/>
          <w:lang w:val="en-AU"/>
        </w:rPr>
        <w:t>W</w:t>
      </w:r>
      <w:r w:rsidRPr="00506CB4">
        <w:rPr>
          <w:rStyle w:val="HeadinggreenitalicsChar"/>
          <w:rFonts w:asciiTheme="minorHAnsi" w:hAnsiTheme="minorHAnsi" w:cstheme="minorHAnsi"/>
          <w:lang w:val="en-AU"/>
        </w:rPr>
        <w:t>hat the person knows and can apply</w:t>
      </w:r>
      <w:r w:rsidRPr="00506CB4">
        <w:rPr>
          <w:rStyle w:val="HeadinggreenitalicsChar"/>
          <w:rFonts w:asciiTheme="minorHAnsi" w:hAnsiTheme="minorHAnsi" w:cstheme="minorHAnsi"/>
          <w:lang w:val="en-AU"/>
        </w:rPr>
        <w:br/>
      </w:r>
      <w:r w:rsidR="004658F4">
        <w:rPr>
          <w:rFonts w:asciiTheme="minorHAnsi" w:eastAsia="Calibri" w:hAnsiTheme="minorHAnsi" w:cstheme="minorHAnsi"/>
          <w:color w:val="auto"/>
          <w:szCs w:val="24"/>
          <w:lang w:val="en-AU"/>
        </w:rPr>
        <w:t>T</w:t>
      </w:r>
      <w:r w:rsidRPr="00506CB4">
        <w:rPr>
          <w:rFonts w:asciiTheme="minorHAnsi" w:eastAsia="Calibri" w:hAnsiTheme="minorHAnsi" w:cstheme="minorHAnsi"/>
          <w:color w:val="auto"/>
          <w:szCs w:val="24"/>
          <w:lang w:val="en-AU"/>
        </w:rPr>
        <w:t>his is the traditional business of education; supporting a student to grow their knowledge and skills so that they can take up their rightful place as a valued contributing member of community life. For the student living with disability, this goes to how the school adapts the curriculum and pedagogy to provide the best chance of the student connecting to the knowledge and skills</w:t>
      </w:r>
      <w:r w:rsidR="00B41DEA">
        <w:rPr>
          <w:rFonts w:asciiTheme="minorHAnsi" w:eastAsia="Calibri" w:hAnsiTheme="minorHAnsi" w:cstheme="minorHAnsi"/>
          <w:color w:val="auto"/>
          <w:szCs w:val="24"/>
          <w:lang w:val="en-AU"/>
        </w:rPr>
        <w:t>.</w:t>
      </w:r>
    </w:p>
    <w:p w14:paraId="7659317C" w14:textId="53C8054C" w:rsidR="00506CB4" w:rsidRPr="00506CB4" w:rsidRDefault="00506CB4" w:rsidP="00A674F6">
      <w:pPr>
        <w:spacing w:after="120" w:line="240" w:lineRule="auto"/>
        <w:ind w:right="0"/>
        <w:rPr>
          <w:rFonts w:asciiTheme="minorHAnsi" w:eastAsia="Calibri" w:hAnsiTheme="minorHAnsi" w:cstheme="minorHAnsi"/>
          <w:color w:val="auto"/>
          <w:szCs w:val="24"/>
          <w:lang w:val="en-AU"/>
        </w:rPr>
      </w:pPr>
      <w:r w:rsidRPr="00506CB4">
        <w:rPr>
          <w:rStyle w:val="HeadinggreenitalicsChar"/>
          <w:rFonts w:asciiTheme="minorHAnsi" w:hAnsiTheme="minorHAnsi" w:cstheme="minorHAnsi"/>
          <w:lang w:val="en-AU"/>
        </w:rPr>
        <w:t xml:space="preserve">Material Capital – </w:t>
      </w:r>
      <w:r w:rsidR="007A16F5">
        <w:rPr>
          <w:rStyle w:val="HeadinggreenitalicsChar"/>
          <w:rFonts w:asciiTheme="minorHAnsi" w:hAnsiTheme="minorHAnsi" w:cstheme="minorHAnsi"/>
          <w:lang w:val="en-AU"/>
        </w:rPr>
        <w:t>M</w:t>
      </w:r>
      <w:r w:rsidRPr="00506CB4">
        <w:rPr>
          <w:rStyle w:val="HeadinggreenitalicsChar"/>
          <w:rFonts w:asciiTheme="minorHAnsi" w:hAnsiTheme="minorHAnsi" w:cstheme="minorHAnsi"/>
          <w:lang w:val="en-AU"/>
        </w:rPr>
        <w:t>oney and the tangible things in the person's life</w:t>
      </w:r>
      <w:r w:rsidRPr="00506CB4">
        <w:rPr>
          <w:rFonts w:asciiTheme="minorHAnsi" w:eastAsia="Calibri" w:hAnsiTheme="minorHAnsi" w:cstheme="minorHAnsi"/>
          <w:b/>
          <w:i/>
          <w:color w:val="auto"/>
          <w:szCs w:val="24"/>
          <w:lang w:val="en-AU"/>
        </w:rPr>
        <w:t xml:space="preserve"> </w:t>
      </w:r>
      <w:r w:rsidRPr="00506CB4">
        <w:rPr>
          <w:rFonts w:asciiTheme="minorHAnsi" w:eastAsia="Calibri" w:hAnsiTheme="minorHAnsi" w:cstheme="minorHAnsi"/>
          <w:color w:val="auto"/>
          <w:szCs w:val="24"/>
          <w:lang w:val="en-AU"/>
        </w:rPr>
        <w:br/>
        <w:t>This goes to the resources that are available to the student. For all students</w:t>
      </w:r>
      <w:r w:rsidR="00A674F6">
        <w:rPr>
          <w:rFonts w:asciiTheme="minorHAnsi" w:eastAsia="Calibri" w:hAnsiTheme="minorHAnsi" w:cstheme="minorHAnsi"/>
          <w:color w:val="auto"/>
          <w:szCs w:val="24"/>
          <w:lang w:val="en-AU"/>
        </w:rPr>
        <w:t>,</w:t>
      </w:r>
      <w:r w:rsidRPr="00506CB4">
        <w:rPr>
          <w:rFonts w:asciiTheme="minorHAnsi" w:eastAsia="Calibri" w:hAnsiTheme="minorHAnsi" w:cstheme="minorHAnsi"/>
          <w:color w:val="auto"/>
          <w:szCs w:val="24"/>
          <w:lang w:val="en-AU"/>
        </w:rPr>
        <w:t xml:space="preserve"> this includes things like lunch, books, classrooms, IT, etc</w:t>
      </w:r>
      <w:r w:rsidR="00A674F6">
        <w:rPr>
          <w:rFonts w:asciiTheme="minorHAnsi" w:eastAsia="Calibri" w:hAnsiTheme="minorHAnsi" w:cstheme="minorHAnsi"/>
          <w:color w:val="auto"/>
          <w:szCs w:val="24"/>
          <w:lang w:val="en-AU"/>
        </w:rPr>
        <w:t>.</w:t>
      </w:r>
      <w:r w:rsidRPr="00506CB4">
        <w:rPr>
          <w:rFonts w:asciiTheme="minorHAnsi" w:eastAsia="Calibri" w:hAnsiTheme="minorHAnsi" w:cstheme="minorHAnsi"/>
          <w:color w:val="auto"/>
          <w:szCs w:val="24"/>
          <w:lang w:val="en-AU"/>
        </w:rPr>
        <w:t xml:space="preserve"> that assist students to grow their life chances </w:t>
      </w:r>
      <w:r w:rsidRPr="00506CB4">
        <w:rPr>
          <w:rFonts w:asciiTheme="minorHAnsi" w:eastAsia="Calibri" w:hAnsiTheme="minorHAnsi" w:cstheme="minorHAnsi"/>
          <w:color w:val="auto"/>
          <w:szCs w:val="24"/>
          <w:lang w:val="en-AU"/>
        </w:rPr>
        <w:lastRenderedPageBreak/>
        <w:t xml:space="preserve">through the learning process. For a student living with disability, this includes the presence of accessibility features such as mobility supports, ramps, rails, lifts, </w:t>
      </w:r>
      <w:r w:rsidR="00A674F6">
        <w:rPr>
          <w:rFonts w:asciiTheme="minorHAnsi" w:eastAsia="Calibri" w:hAnsiTheme="minorHAnsi" w:cstheme="minorHAnsi"/>
          <w:color w:val="auto"/>
          <w:szCs w:val="24"/>
          <w:lang w:val="en-AU"/>
        </w:rPr>
        <w:t>E</w:t>
      </w:r>
      <w:r w:rsidRPr="00506CB4">
        <w:rPr>
          <w:rFonts w:asciiTheme="minorHAnsi" w:eastAsia="Calibri" w:hAnsiTheme="minorHAnsi" w:cstheme="minorHAnsi"/>
          <w:color w:val="auto"/>
          <w:szCs w:val="24"/>
          <w:lang w:val="en-AU"/>
        </w:rPr>
        <w:t xml:space="preserve">asy English versions of </w:t>
      </w:r>
      <w:r w:rsidR="00A674F6">
        <w:rPr>
          <w:rFonts w:asciiTheme="minorHAnsi" w:eastAsia="Calibri" w:hAnsiTheme="minorHAnsi" w:cstheme="minorHAnsi"/>
          <w:color w:val="auto"/>
          <w:szCs w:val="24"/>
          <w:lang w:val="en-AU"/>
        </w:rPr>
        <w:t>written materials</w:t>
      </w:r>
      <w:r w:rsidRPr="00506CB4">
        <w:rPr>
          <w:rFonts w:asciiTheme="minorHAnsi" w:eastAsia="Calibri" w:hAnsiTheme="minorHAnsi" w:cstheme="minorHAnsi"/>
          <w:color w:val="auto"/>
          <w:szCs w:val="24"/>
          <w:lang w:val="en-AU"/>
        </w:rPr>
        <w:t>, audio description, assistive technology, support staff, etc</w:t>
      </w:r>
      <w:r w:rsidR="00B41DEA">
        <w:rPr>
          <w:rFonts w:asciiTheme="minorHAnsi" w:eastAsia="Calibri" w:hAnsiTheme="minorHAnsi" w:cstheme="minorHAnsi"/>
          <w:color w:val="auto"/>
          <w:szCs w:val="24"/>
          <w:lang w:val="en-AU"/>
        </w:rPr>
        <w:t>.</w:t>
      </w:r>
    </w:p>
    <w:p w14:paraId="56CC4DDE" w14:textId="3B8009E1" w:rsidR="00506CB4" w:rsidRPr="00506CB4" w:rsidRDefault="00506CB4" w:rsidP="00A674F6">
      <w:pPr>
        <w:spacing w:after="120" w:line="240" w:lineRule="auto"/>
        <w:ind w:right="0"/>
        <w:rPr>
          <w:rFonts w:asciiTheme="minorHAnsi" w:eastAsia="Calibri" w:hAnsiTheme="minorHAnsi" w:cstheme="minorHAnsi"/>
          <w:color w:val="auto"/>
          <w:szCs w:val="24"/>
          <w:lang w:val="en-AU"/>
        </w:rPr>
      </w:pPr>
      <w:r w:rsidRPr="00506CB4">
        <w:rPr>
          <w:rStyle w:val="HeadinggreenitalicsChar"/>
          <w:rFonts w:asciiTheme="minorHAnsi" w:hAnsiTheme="minorHAnsi" w:cstheme="minorHAnsi"/>
          <w:lang w:val="en-AU"/>
        </w:rPr>
        <w:t>Social Capital –</w:t>
      </w:r>
      <w:r w:rsidR="007A16F5">
        <w:rPr>
          <w:rStyle w:val="HeadinggreenitalicsChar"/>
          <w:rFonts w:asciiTheme="minorHAnsi" w:hAnsiTheme="minorHAnsi" w:cstheme="minorHAnsi"/>
          <w:lang w:val="en-AU"/>
        </w:rPr>
        <w:t xml:space="preserve"> P</w:t>
      </w:r>
      <w:r w:rsidRPr="00506CB4">
        <w:rPr>
          <w:rStyle w:val="HeadinggreenitalicsChar"/>
          <w:rFonts w:asciiTheme="minorHAnsi" w:hAnsiTheme="minorHAnsi" w:cstheme="minorHAnsi"/>
          <w:lang w:val="en-AU"/>
        </w:rPr>
        <w:t>eople in the person's life</w:t>
      </w:r>
      <w:r w:rsidRPr="00506CB4">
        <w:rPr>
          <w:rFonts w:asciiTheme="minorHAnsi" w:eastAsia="Calibri" w:hAnsiTheme="minorHAnsi" w:cstheme="minorHAnsi"/>
          <w:b/>
          <w:i/>
          <w:color w:val="auto"/>
          <w:szCs w:val="24"/>
          <w:lang w:val="en-AU"/>
        </w:rPr>
        <w:t xml:space="preserve"> </w:t>
      </w:r>
      <w:r w:rsidRPr="00506CB4">
        <w:rPr>
          <w:rFonts w:asciiTheme="minorHAnsi" w:eastAsia="Calibri" w:hAnsiTheme="minorHAnsi" w:cstheme="minorHAnsi"/>
          <w:color w:val="auto"/>
          <w:szCs w:val="24"/>
          <w:lang w:val="en-AU"/>
        </w:rPr>
        <w:br/>
      </w:r>
      <w:r w:rsidR="00B41DEA">
        <w:rPr>
          <w:rFonts w:asciiTheme="minorHAnsi" w:eastAsia="Calibri" w:hAnsiTheme="minorHAnsi" w:cstheme="minorHAnsi"/>
          <w:color w:val="auto"/>
          <w:szCs w:val="24"/>
          <w:lang w:val="en-AU"/>
        </w:rPr>
        <w:t>T</w:t>
      </w:r>
      <w:r w:rsidRPr="00506CB4">
        <w:rPr>
          <w:rFonts w:asciiTheme="minorHAnsi" w:eastAsia="Calibri" w:hAnsiTheme="minorHAnsi" w:cstheme="minorHAnsi"/>
          <w:color w:val="auto"/>
          <w:szCs w:val="24"/>
          <w:lang w:val="en-AU"/>
        </w:rPr>
        <w:t xml:space="preserve">his goes to the heart of an inclusive school community, where every student feels they genuinely belong to that community and have friends and acquaintances across the school years </w:t>
      </w:r>
      <w:r w:rsidR="00D774D6" w:rsidRPr="00506CB4">
        <w:rPr>
          <w:rFonts w:asciiTheme="minorHAnsi" w:eastAsia="Calibri" w:hAnsiTheme="minorHAnsi" w:cstheme="minorHAnsi"/>
          <w:color w:val="auto"/>
          <w:szCs w:val="24"/>
          <w:lang w:val="en-AU"/>
        </w:rPr>
        <w:t>and</w:t>
      </w:r>
      <w:r w:rsidRPr="00506CB4">
        <w:rPr>
          <w:rFonts w:asciiTheme="minorHAnsi" w:eastAsia="Calibri" w:hAnsiTheme="minorHAnsi" w:cstheme="minorHAnsi"/>
          <w:color w:val="auto"/>
          <w:szCs w:val="24"/>
          <w:lang w:val="en-AU"/>
        </w:rPr>
        <w:t xml:space="preserve"> authentic nurturing relationships with </w:t>
      </w:r>
      <w:r w:rsidR="00B41DEA">
        <w:rPr>
          <w:rFonts w:asciiTheme="minorHAnsi" w:eastAsia="Calibri" w:hAnsiTheme="minorHAnsi" w:cstheme="minorHAnsi"/>
          <w:color w:val="auto"/>
          <w:szCs w:val="24"/>
          <w:lang w:val="en-AU"/>
        </w:rPr>
        <w:t>school staff</w:t>
      </w:r>
      <w:r w:rsidRPr="00506CB4">
        <w:rPr>
          <w:rFonts w:asciiTheme="minorHAnsi" w:eastAsia="Calibri" w:hAnsiTheme="minorHAnsi" w:cstheme="minorHAnsi"/>
          <w:color w:val="auto"/>
          <w:szCs w:val="24"/>
          <w:lang w:val="en-AU"/>
        </w:rPr>
        <w:t>. For the student living with disability or other type of increased vulnerability, this includes a highly intentional approach to building a student’s connectivity to their peers, on the basis of common interest</w:t>
      </w:r>
      <w:r w:rsidR="00A674F6">
        <w:rPr>
          <w:rFonts w:asciiTheme="minorHAnsi" w:eastAsia="Calibri" w:hAnsiTheme="minorHAnsi" w:cstheme="minorHAnsi"/>
          <w:color w:val="auto"/>
          <w:szCs w:val="24"/>
          <w:lang w:val="en-AU"/>
        </w:rPr>
        <w:t>s</w:t>
      </w:r>
      <w:r w:rsidRPr="00506CB4">
        <w:rPr>
          <w:rFonts w:asciiTheme="minorHAnsi" w:eastAsia="Calibri" w:hAnsiTheme="minorHAnsi" w:cstheme="minorHAnsi"/>
          <w:color w:val="auto"/>
          <w:szCs w:val="24"/>
          <w:lang w:val="en-AU"/>
        </w:rPr>
        <w:t xml:space="preserve"> and shared belonging.</w:t>
      </w:r>
    </w:p>
    <w:p w14:paraId="49FCDDDB" w14:textId="77777777" w:rsidR="007303B1" w:rsidRPr="002362A1" w:rsidRDefault="007303B1" w:rsidP="00A674F6">
      <w:pPr>
        <w:spacing w:after="120" w:line="240" w:lineRule="auto"/>
        <w:ind w:left="0" w:right="0" w:firstLine="0"/>
        <w:rPr>
          <w:rFonts w:asciiTheme="minorHAnsi" w:eastAsia="Calibri" w:hAnsiTheme="minorHAnsi" w:cstheme="minorHAnsi"/>
          <w:color w:val="auto"/>
          <w:szCs w:val="24"/>
          <w:lang w:val="en-AU"/>
        </w:rPr>
      </w:pPr>
    </w:p>
    <w:p w14:paraId="4B0C0CA0" w14:textId="7CE9F17A" w:rsidR="005C3C5D" w:rsidRPr="002362A1" w:rsidRDefault="00BB63F3" w:rsidP="00A674F6">
      <w:pPr>
        <w:pStyle w:val="Heading2"/>
        <w:spacing w:before="0" w:after="120" w:line="240" w:lineRule="auto"/>
        <w:ind w:left="0"/>
        <w:rPr>
          <w:rFonts w:asciiTheme="minorHAnsi" w:hAnsiTheme="minorHAnsi" w:cstheme="minorHAnsi"/>
        </w:rPr>
      </w:pPr>
      <w:r w:rsidRPr="002362A1">
        <w:rPr>
          <w:rFonts w:asciiTheme="minorHAnsi" w:hAnsiTheme="minorHAnsi" w:cstheme="minorHAnsi"/>
        </w:rPr>
        <w:t>Actions</w:t>
      </w:r>
    </w:p>
    <w:p w14:paraId="3A3F9CC9" w14:textId="1C2C078D"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 xml:space="preserve">The Citizenhood framework can assist </w:t>
      </w:r>
      <w:r w:rsidR="007A16F5">
        <w:rPr>
          <w:rFonts w:asciiTheme="minorHAnsi" w:eastAsia="Calibri" w:hAnsiTheme="minorHAnsi" w:cstheme="minorHAnsi"/>
          <w:color w:val="auto"/>
          <w:szCs w:val="24"/>
          <w:lang w:val="en-AU"/>
        </w:rPr>
        <w:t>school staff</w:t>
      </w:r>
      <w:r w:rsidRPr="00506CB4">
        <w:rPr>
          <w:rFonts w:asciiTheme="minorHAnsi" w:eastAsia="Calibri" w:hAnsiTheme="minorHAnsi" w:cstheme="minorHAnsi"/>
          <w:color w:val="auto"/>
          <w:szCs w:val="24"/>
          <w:lang w:val="en-AU"/>
        </w:rPr>
        <w:t xml:space="preserve"> to think through how best to assist </w:t>
      </w:r>
      <w:r w:rsidR="007A16F5">
        <w:rPr>
          <w:rFonts w:asciiTheme="minorHAnsi" w:eastAsia="Calibri" w:hAnsiTheme="minorHAnsi" w:cstheme="minorHAnsi"/>
          <w:color w:val="auto"/>
          <w:szCs w:val="24"/>
          <w:lang w:val="en-AU"/>
        </w:rPr>
        <w:t xml:space="preserve">a </w:t>
      </w:r>
      <w:r w:rsidRPr="00506CB4">
        <w:rPr>
          <w:rFonts w:asciiTheme="minorHAnsi" w:eastAsia="Calibri" w:hAnsiTheme="minorHAnsi" w:cstheme="minorHAnsi"/>
          <w:color w:val="auto"/>
          <w:szCs w:val="24"/>
          <w:lang w:val="en-AU"/>
        </w:rPr>
        <w:t>student to be a successful valued member of the school community.</w:t>
      </w:r>
    </w:p>
    <w:p w14:paraId="356EA203" w14:textId="58DF1821"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 xml:space="preserve">First, </w:t>
      </w:r>
      <w:r w:rsidR="00B41DEA">
        <w:rPr>
          <w:rFonts w:asciiTheme="minorHAnsi" w:eastAsia="Calibri" w:hAnsiTheme="minorHAnsi" w:cstheme="minorHAnsi"/>
          <w:color w:val="auto"/>
          <w:szCs w:val="24"/>
          <w:lang w:val="en-AU"/>
        </w:rPr>
        <w:t xml:space="preserve">school staff </w:t>
      </w:r>
      <w:r w:rsidRPr="00506CB4">
        <w:rPr>
          <w:rFonts w:asciiTheme="minorHAnsi" w:eastAsia="Calibri" w:hAnsiTheme="minorHAnsi" w:cstheme="minorHAnsi"/>
          <w:color w:val="auto"/>
          <w:szCs w:val="24"/>
          <w:lang w:val="en-AU"/>
        </w:rPr>
        <w:t xml:space="preserve">can consider the extent to which the student has valued roles at the school.  </w:t>
      </w:r>
      <w:r w:rsidR="007A16F5">
        <w:rPr>
          <w:rFonts w:asciiTheme="minorHAnsi" w:eastAsia="Calibri" w:hAnsiTheme="minorHAnsi" w:cstheme="minorHAnsi"/>
          <w:color w:val="auto"/>
          <w:szCs w:val="24"/>
          <w:lang w:val="en-AU"/>
        </w:rPr>
        <w:t xml:space="preserve">The following questions can be used to prompt reflection </w:t>
      </w:r>
      <w:r w:rsidR="00D774D6">
        <w:rPr>
          <w:rFonts w:asciiTheme="minorHAnsi" w:eastAsia="Calibri" w:hAnsiTheme="minorHAnsi" w:cstheme="minorHAnsi"/>
          <w:color w:val="auto"/>
          <w:szCs w:val="24"/>
          <w:lang w:val="en-AU"/>
        </w:rPr>
        <w:t xml:space="preserve">and discussion </w:t>
      </w:r>
      <w:r w:rsidR="007A16F5">
        <w:rPr>
          <w:rFonts w:asciiTheme="minorHAnsi" w:eastAsia="Calibri" w:hAnsiTheme="minorHAnsi" w:cstheme="minorHAnsi"/>
          <w:color w:val="auto"/>
          <w:szCs w:val="24"/>
          <w:lang w:val="en-AU"/>
        </w:rPr>
        <w:t>apply</w:t>
      </w:r>
      <w:r w:rsidR="00A674F6">
        <w:rPr>
          <w:rFonts w:asciiTheme="minorHAnsi" w:eastAsia="Calibri" w:hAnsiTheme="minorHAnsi" w:cstheme="minorHAnsi"/>
          <w:color w:val="auto"/>
          <w:szCs w:val="24"/>
          <w:lang w:val="en-AU"/>
        </w:rPr>
        <w:t>ing</w:t>
      </w:r>
      <w:r w:rsidR="007A16F5">
        <w:rPr>
          <w:rFonts w:asciiTheme="minorHAnsi" w:eastAsia="Calibri" w:hAnsiTheme="minorHAnsi" w:cstheme="minorHAnsi"/>
          <w:color w:val="auto"/>
          <w:szCs w:val="24"/>
          <w:lang w:val="en-AU"/>
        </w:rPr>
        <w:t xml:space="preserve"> the Citizenhood framework to specific students:  </w:t>
      </w:r>
    </w:p>
    <w:p w14:paraId="704A2281" w14:textId="29038FA2" w:rsidR="00506CB4" w:rsidRPr="007A16F5" w:rsidRDefault="002362A1" w:rsidP="00A674F6">
      <w:pPr>
        <w:pStyle w:val="ListParagraph"/>
        <w:numPr>
          <w:ilvl w:val="0"/>
          <w:numId w:val="15"/>
        </w:numPr>
        <w:spacing w:after="120" w:line="240" w:lineRule="auto"/>
        <w:ind w:right="0"/>
        <w:rPr>
          <w:rFonts w:asciiTheme="minorHAnsi" w:eastAsia="Calibri" w:hAnsiTheme="minorHAnsi" w:cstheme="minorHAnsi"/>
          <w:color w:val="auto"/>
          <w:szCs w:val="24"/>
          <w:lang w:val="en-AU"/>
        </w:rPr>
      </w:pPr>
      <w:r w:rsidRPr="001A5809">
        <w:rPr>
          <w:rStyle w:val="HeadinggreenitalicsChar"/>
          <w:lang w:val="en-AU"/>
        </w:rPr>
        <w:t>W</w:t>
      </w:r>
      <w:r w:rsidR="00506CB4" w:rsidRPr="001A5809">
        <w:rPr>
          <w:rStyle w:val="HeadinggreenitalicsChar"/>
          <w:lang w:val="en-AU"/>
        </w:rPr>
        <w:t>hat roles does the student have at school that raise their value in the eyes of others in the school community?</w:t>
      </w:r>
      <w:r w:rsidR="00506CB4" w:rsidRPr="007A16F5">
        <w:rPr>
          <w:rFonts w:asciiTheme="minorHAnsi" w:eastAsia="Calibri" w:hAnsiTheme="minorHAnsi" w:cstheme="minorHAnsi"/>
          <w:color w:val="auto"/>
          <w:szCs w:val="24"/>
          <w:lang w:val="en-AU"/>
        </w:rPr>
        <w:br/>
        <w:t xml:space="preserve">If their only role is seen to be that of a partially-attending, disruptive or inattentive student, this does not constitute a robust Citizenhood profile.  The nature of that student’s vulnerability may mean it is difficult to expect the student to resolve more roles of Citizenhood by themselves.  </w:t>
      </w:r>
      <w:r w:rsidR="00D774D6" w:rsidRPr="007A16F5">
        <w:rPr>
          <w:rFonts w:asciiTheme="minorHAnsi" w:eastAsia="Calibri" w:hAnsiTheme="minorHAnsi" w:cstheme="minorHAnsi"/>
          <w:color w:val="auto"/>
          <w:szCs w:val="24"/>
          <w:lang w:val="en-AU"/>
        </w:rPr>
        <w:t>So,</w:t>
      </w:r>
      <w:r w:rsidR="00506CB4" w:rsidRPr="007A16F5">
        <w:rPr>
          <w:rFonts w:asciiTheme="minorHAnsi" w:eastAsia="Calibri" w:hAnsiTheme="minorHAnsi" w:cstheme="minorHAnsi"/>
          <w:color w:val="auto"/>
          <w:szCs w:val="24"/>
          <w:lang w:val="en-AU"/>
        </w:rPr>
        <w:t xml:space="preserve"> the challenge for the </w:t>
      </w:r>
      <w:r w:rsidR="00A674F6">
        <w:rPr>
          <w:rFonts w:asciiTheme="minorHAnsi" w:eastAsia="Calibri" w:hAnsiTheme="minorHAnsi" w:cstheme="minorHAnsi"/>
          <w:color w:val="auto"/>
          <w:szCs w:val="24"/>
          <w:lang w:val="en-AU"/>
        </w:rPr>
        <w:t>school</w:t>
      </w:r>
      <w:r w:rsidR="00506CB4" w:rsidRPr="007A16F5">
        <w:rPr>
          <w:rFonts w:asciiTheme="minorHAnsi" w:eastAsia="Calibri" w:hAnsiTheme="minorHAnsi" w:cstheme="minorHAnsi"/>
          <w:color w:val="auto"/>
          <w:szCs w:val="24"/>
          <w:lang w:val="en-AU"/>
        </w:rPr>
        <w:t xml:space="preserve"> is how to find ways to move this student into roles that mean they are valued in the eyes of other people at school.</w:t>
      </w:r>
    </w:p>
    <w:p w14:paraId="671AB1C3" w14:textId="0D089EE2" w:rsidR="00506CB4" w:rsidRPr="007A16F5" w:rsidRDefault="002362A1" w:rsidP="00A674F6">
      <w:pPr>
        <w:pStyle w:val="ListParagraph"/>
        <w:numPr>
          <w:ilvl w:val="0"/>
          <w:numId w:val="15"/>
        </w:numPr>
        <w:spacing w:after="120" w:line="240" w:lineRule="auto"/>
        <w:ind w:right="0"/>
        <w:rPr>
          <w:rFonts w:asciiTheme="minorHAnsi" w:eastAsia="Calibri" w:hAnsiTheme="minorHAnsi" w:cstheme="minorHAnsi"/>
          <w:color w:val="auto"/>
          <w:szCs w:val="24"/>
          <w:lang w:val="en-AU"/>
        </w:rPr>
      </w:pPr>
      <w:r w:rsidRPr="001A5809">
        <w:rPr>
          <w:rStyle w:val="HeadinggreenitalicsChar"/>
          <w:lang w:val="en-AU"/>
        </w:rPr>
        <w:t>T</w:t>
      </w:r>
      <w:r w:rsidR="00506CB4" w:rsidRPr="001A5809">
        <w:rPr>
          <w:rStyle w:val="HeadinggreenitalicsChar"/>
          <w:lang w:val="en-AU"/>
        </w:rPr>
        <w:t>o what extent are the student’s strengths and gifts known and does the student have very positive sense of their own worth and potential?</w:t>
      </w:r>
      <w:r w:rsidR="00506CB4" w:rsidRPr="007A16F5">
        <w:rPr>
          <w:rFonts w:asciiTheme="minorHAnsi" w:eastAsia="Calibri" w:hAnsiTheme="minorHAnsi" w:cstheme="minorHAnsi"/>
          <w:b/>
          <w:i/>
          <w:color w:val="auto"/>
          <w:szCs w:val="24"/>
          <w:lang w:val="en-AU"/>
        </w:rPr>
        <w:br/>
      </w:r>
      <w:r w:rsidR="00506CB4" w:rsidRPr="007A16F5">
        <w:rPr>
          <w:rFonts w:asciiTheme="minorHAnsi" w:eastAsia="Calibri" w:hAnsiTheme="minorHAnsi" w:cstheme="minorHAnsi"/>
          <w:color w:val="auto"/>
          <w:szCs w:val="24"/>
          <w:lang w:val="en-AU"/>
        </w:rPr>
        <w:t xml:space="preserve">The challenge for the </w:t>
      </w:r>
      <w:r w:rsidR="00A674F6">
        <w:rPr>
          <w:rFonts w:asciiTheme="minorHAnsi" w:eastAsia="Calibri" w:hAnsiTheme="minorHAnsi" w:cstheme="minorHAnsi"/>
          <w:color w:val="auto"/>
          <w:szCs w:val="24"/>
          <w:lang w:val="en-AU"/>
        </w:rPr>
        <w:t>school</w:t>
      </w:r>
      <w:r w:rsidR="00506CB4" w:rsidRPr="007A16F5">
        <w:rPr>
          <w:rFonts w:asciiTheme="minorHAnsi" w:eastAsia="Calibri" w:hAnsiTheme="minorHAnsi" w:cstheme="minorHAnsi"/>
          <w:color w:val="auto"/>
          <w:szCs w:val="24"/>
          <w:lang w:val="en-AU"/>
        </w:rPr>
        <w:t xml:space="preserve"> here is to find ways to reveal the student</w:t>
      </w:r>
      <w:r w:rsidR="00A674F6">
        <w:rPr>
          <w:rFonts w:asciiTheme="minorHAnsi" w:eastAsia="Calibri" w:hAnsiTheme="minorHAnsi" w:cstheme="minorHAnsi"/>
          <w:color w:val="auto"/>
          <w:szCs w:val="24"/>
          <w:lang w:val="en-AU"/>
        </w:rPr>
        <w:t>’</w:t>
      </w:r>
      <w:r w:rsidR="00506CB4" w:rsidRPr="007A16F5">
        <w:rPr>
          <w:rFonts w:asciiTheme="minorHAnsi" w:eastAsia="Calibri" w:hAnsiTheme="minorHAnsi" w:cstheme="minorHAnsi"/>
          <w:color w:val="auto"/>
          <w:szCs w:val="24"/>
          <w:lang w:val="en-AU"/>
        </w:rPr>
        <w:t>s inherent gifts and strengths, and to communicate these to the student and to other stakeholders.  This can help the student to see their worth and potential beyond their vulnerability. Other stakeholders at the school including educators</w:t>
      </w:r>
      <w:r w:rsidR="00A674F6">
        <w:rPr>
          <w:rFonts w:asciiTheme="minorHAnsi" w:eastAsia="Calibri" w:hAnsiTheme="minorHAnsi" w:cstheme="minorHAnsi"/>
          <w:color w:val="auto"/>
          <w:szCs w:val="24"/>
          <w:lang w:val="en-AU"/>
        </w:rPr>
        <w:t>,</w:t>
      </w:r>
      <w:r w:rsidR="00506CB4" w:rsidRPr="007A16F5">
        <w:rPr>
          <w:rFonts w:asciiTheme="minorHAnsi" w:eastAsia="Calibri" w:hAnsiTheme="minorHAnsi" w:cstheme="minorHAnsi"/>
          <w:color w:val="auto"/>
          <w:szCs w:val="24"/>
          <w:lang w:val="en-AU"/>
        </w:rPr>
        <w:t xml:space="preserve"> students,</w:t>
      </w:r>
      <w:r w:rsidR="00A674F6">
        <w:rPr>
          <w:rFonts w:asciiTheme="minorHAnsi" w:eastAsia="Calibri" w:hAnsiTheme="minorHAnsi" w:cstheme="minorHAnsi"/>
          <w:color w:val="auto"/>
          <w:szCs w:val="24"/>
          <w:lang w:val="en-AU"/>
        </w:rPr>
        <w:t xml:space="preserve"> and families </w:t>
      </w:r>
      <w:r w:rsidR="00506CB4" w:rsidRPr="007A16F5">
        <w:rPr>
          <w:rFonts w:asciiTheme="minorHAnsi" w:eastAsia="Calibri" w:hAnsiTheme="minorHAnsi" w:cstheme="minorHAnsi"/>
          <w:color w:val="auto"/>
          <w:szCs w:val="24"/>
          <w:lang w:val="en-AU"/>
        </w:rPr>
        <w:t>can contribute to this narrative</w:t>
      </w:r>
      <w:r w:rsidR="00A674F6">
        <w:rPr>
          <w:rFonts w:asciiTheme="minorHAnsi" w:eastAsia="Calibri" w:hAnsiTheme="minorHAnsi" w:cstheme="minorHAnsi"/>
          <w:color w:val="auto"/>
          <w:szCs w:val="24"/>
          <w:lang w:val="en-AU"/>
        </w:rPr>
        <w:t>.</w:t>
      </w:r>
    </w:p>
    <w:p w14:paraId="06226C45" w14:textId="5F387ECA" w:rsidR="00506CB4" w:rsidRPr="007A16F5" w:rsidRDefault="002362A1" w:rsidP="00A674F6">
      <w:pPr>
        <w:pStyle w:val="ListParagraph"/>
        <w:numPr>
          <w:ilvl w:val="0"/>
          <w:numId w:val="15"/>
        </w:numPr>
        <w:spacing w:after="120" w:line="240" w:lineRule="auto"/>
        <w:ind w:right="0"/>
        <w:rPr>
          <w:rFonts w:asciiTheme="minorHAnsi" w:eastAsia="Calibri" w:hAnsiTheme="minorHAnsi" w:cstheme="minorHAnsi"/>
          <w:color w:val="auto"/>
          <w:szCs w:val="24"/>
          <w:lang w:val="en-AU"/>
        </w:rPr>
      </w:pPr>
      <w:r w:rsidRPr="001A5809">
        <w:rPr>
          <w:rStyle w:val="HeadinggreenitalicsChar"/>
          <w:lang w:val="en-AU"/>
        </w:rPr>
        <w:t>T</w:t>
      </w:r>
      <w:r w:rsidR="00506CB4" w:rsidRPr="001A5809">
        <w:rPr>
          <w:rStyle w:val="HeadinggreenitalicsChar"/>
          <w:lang w:val="en-AU"/>
        </w:rPr>
        <w:t xml:space="preserve">o what extent is the classroom experience tailored to the student’s </w:t>
      </w:r>
      <w:r w:rsidR="00D774D6" w:rsidRPr="001A5809">
        <w:rPr>
          <w:rStyle w:val="HeadinggreenitalicsChar"/>
        </w:rPr>
        <w:t>learning</w:t>
      </w:r>
      <w:r w:rsidR="00506CB4" w:rsidRPr="001A5809">
        <w:rPr>
          <w:rStyle w:val="HeadinggreenitalicsChar"/>
          <w:lang w:val="en-AU"/>
        </w:rPr>
        <w:t xml:space="preserve"> </w:t>
      </w:r>
      <w:r w:rsidR="00A674F6">
        <w:rPr>
          <w:rStyle w:val="HeadinggreenitalicsChar"/>
          <w:lang w:val="en-AU"/>
        </w:rPr>
        <w:t xml:space="preserve">needs and </w:t>
      </w:r>
      <w:r w:rsidR="00506CB4" w:rsidRPr="001A5809">
        <w:rPr>
          <w:rStyle w:val="HeadinggreenitalicsChar"/>
          <w:lang w:val="en-AU"/>
        </w:rPr>
        <w:t>preferences?</w:t>
      </w:r>
      <w:r w:rsidR="00506CB4" w:rsidRPr="007A16F5">
        <w:rPr>
          <w:rFonts w:asciiTheme="minorHAnsi" w:eastAsia="Calibri" w:hAnsiTheme="minorHAnsi" w:cstheme="minorHAnsi"/>
          <w:b/>
          <w:i/>
          <w:color w:val="auto"/>
          <w:szCs w:val="24"/>
          <w:lang w:val="en-AU"/>
        </w:rPr>
        <w:br/>
      </w:r>
      <w:r w:rsidR="00506CB4" w:rsidRPr="007A16F5">
        <w:rPr>
          <w:rFonts w:asciiTheme="minorHAnsi" w:eastAsia="Calibri" w:hAnsiTheme="minorHAnsi" w:cstheme="minorHAnsi"/>
          <w:color w:val="auto"/>
          <w:szCs w:val="24"/>
          <w:lang w:val="en-AU"/>
        </w:rPr>
        <w:t>This goes to the educator’s skills and confidence in designing and delivering a successful learning experience to the student as a member of a diverse classroom</w:t>
      </w:r>
      <w:r w:rsidR="00A674F6">
        <w:rPr>
          <w:rFonts w:asciiTheme="minorHAnsi" w:eastAsia="Calibri" w:hAnsiTheme="minorHAnsi" w:cstheme="minorHAnsi"/>
          <w:color w:val="auto"/>
          <w:szCs w:val="24"/>
          <w:lang w:val="en-AU"/>
        </w:rPr>
        <w:t>.</w:t>
      </w:r>
      <w:r w:rsidR="00506CB4" w:rsidRPr="007A16F5">
        <w:rPr>
          <w:rFonts w:asciiTheme="minorHAnsi" w:eastAsia="Calibri" w:hAnsiTheme="minorHAnsi" w:cstheme="minorHAnsi"/>
          <w:color w:val="auto"/>
          <w:szCs w:val="24"/>
          <w:lang w:val="en-AU"/>
        </w:rPr>
        <w:t xml:space="preserve"> </w:t>
      </w:r>
    </w:p>
    <w:p w14:paraId="71A05227" w14:textId="5EE3DB9A" w:rsidR="00506CB4" w:rsidRPr="007A16F5" w:rsidRDefault="002362A1" w:rsidP="00A674F6">
      <w:pPr>
        <w:pStyle w:val="ListParagraph"/>
        <w:numPr>
          <w:ilvl w:val="0"/>
          <w:numId w:val="15"/>
        </w:numPr>
        <w:spacing w:after="120" w:line="240" w:lineRule="auto"/>
        <w:ind w:right="0"/>
        <w:rPr>
          <w:rFonts w:asciiTheme="minorHAnsi" w:eastAsia="Calibri" w:hAnsiTheme="minorHAnsi" w:cstheme="minorHAnsi"/>
          <w:b/>
          <w:i/>
          <w:color w:val="auto"/>
          <w:szCs w:val="24"/>
          <w:lang w:val="en-AU"/>
        </w:rPr>
      </w:pPr>
      <w:r w:rsidRPr="001A5809">
        <w:rPr>
          <w:rStyle w:val="HeadinggreenitalicsChar"/>
          <w:lang w:val="en-AU"/>
        </w:rPr>
        <w:t>T</w:t>
      </w:r>
      <w:r w:rsidR="00506CB4" w:rsidRPr="001A5809">
        <w:rPr>
          <w:rStyle w:val="HeadinggreenitalicsChar"/>
          <w:lang w:val="en-AU"/>
        </w:rPr>
        <w:t>o what extent is the student resourced and support</w:t>
      </w:r>
      <w:r w:rsidR="00A674F6">
        <w:rPr>
          <w:rStyle w:val="HeadinggreenitalicsChar"/>
          <w:lang w:val="en-AU"/>
        </w:rPr>
        <w:t>ed in</w:t>
      </w:r>
      <w:r w:rsidR="00506CB4" w:rsidRPr="001A5809">
        <w:rPr>
          <w:rStyle w:val="HeadinggreenitalicsChar"/>
          <w:lang w:val="en-AU"/>
        </w:rPr>
        <w:t xml:space="preserve"> their learning and membership of the school community</w:t>
      </w:r>
      <w:r w:rsidR="00A674F6">
        <w:rPr>
          <w:rStyle w:val="HeadinggreenitalicsChar"/>
          <w:lang w:val="en-AU"/>
        </w:rPr>
        <w:t>?</w:t>
      </w:r>
      <w:r w:rsidR="00506CB4" w:rsidRPr="007A16F5">
        <w:rPr>
          <w:rFonts w:asciiTheme="minorHAnsi" w:eastAsia="Calibri" w:hAnsiTheme="minorHAnsi" w:cstheme="minorHAnsi"/>
          <w:b/>
          <w:i/>
          <w:color w:val="auto"/>
          <w:szCs w:val="24"/>
          <w:lang w:val="en-AU"/>
        </w:rPr>
        <w:br/>
      </w:r>
      <w:r w:rsidR="00506CB4" w:rsidRPr="007A16F5">
        <w:rPr>
          <w:rFonts w:asciiTheme="minorHAnsi" w:eastAsia="Calibri" w:hAnsiTheme="minorHAnsi" w:cstheme="minorHAnsi"/>
          <w:color w:val="auto"/>
          <w:szCs w:val="24"/>
          <w:lang w:val="en-AU"/>
        </w:rPr>
        <w:t>This involves consideration of what types of material resources might best support the student to be present, to learn, and to be a valued member of the school community. For some students this might start and end with reliable access to a nutritious breakfast and lunch, while for other students it might involve the availability of assistive technology.</w:t>
      </w:r>
    </w:p>
    <w:p w14:paraId="2E7CA020" w14:textId="3842CBB9" w:rsidR="00506CB4" w:rsidRPr="007A16F5" w:rsidRDefault="002362A1" w:rsidP="00A674F6">
      <w:pPr>
        <w:pStyle w:val="ListParagraph"/>
        <w:numPr>
          <w:ilvl w:val="0"/>
          <w:numId w:val="15"/>
        </w:numPr>
        <w:spacing w:after="120" w:line="240" w:lineRule="auto"/>
        <w:ind w:right="0"/>
        <w:rPr>
          <w:rFonts w:asciiTheme="minorHAnsi" w:eastAsia="Calibri" w:hAnsiTheme="minorHAnsi" w:cstheme="minorHAnsi"/>
          <w:b/>
          <w:i/>
          <w:color w:val="auto"/>
          <w:szCs w:val="24"/>
          <w:lang w:val="en-AU"/>
        </w:rPr>
      </w:pPr>
      <w:r w:rsidRPr="001A5809">
        <w:rPr>
          <w:rStyle w:val="HeadinggreenitalicsChar"/>
          <w:lang w:val="en-AU"/>
        </w:rPr>
        <w:lastRenderedPageBreak/>
        <w:t>T</w:t>
      </w:r>
      <w:r w:rsidR="00506CB4" w:rsidRPr="001A5809">
        <w:rPr>
          <w:rStyle w:val="HeadinggreenitalicsChar"/>
          <w:lang w:val="en-AU"/>
        </w:rPr>
        <w:t>o what extent does the students have friendships at the school?</w:t>
      </w:r>
      <w:r w:rsidR="00506CB4" w:rsidRPr="007A16F5">
        <w:rPr>
          <w:rFonts w:asciiTheme="minorHAnsi" w:eastAsia="Calibri" w:hAnsiTheme="minorHAnsi" w:cstheme="minorHAnsi"/>
          <w:b/>
          <w:i/>
          <w:color w:val="auto"/>
          <w:szCs w:val="24"/>
          <w:lang w:val="en-AU"/>
        </w:rPr>
        <w:br/>
      </w:r>
      <w:r w:rsidR="00506CB4" w:rsidRPr="007A16F5">
        <w:rPr>
          <w:rFonts w:asciiTheme="minorHAnsi" w:eastAsia="Calibri" w:hAnsiTheme="minorHAnsi" w:cstheme="minorHAnsi"/>
          <w:color w:val="auto"/>
          <w:szCs w:val="24"/>
          <w:lang w:val="en-AU"/>
        </w:rPr>
        <w:t xml:space="preserve">At all stages of life, loneliness can be highly disabling. For all the attention that might be placed on how to deliver a successful learning experience in the classroom for a student living with increased vulnerability, those arrangements don't guarantee that the student will move into natural and authentic social networks with other students at the school. For a student who has very low social connections at school, </w:t>
      </w:r>
      <w:r w:rsidR="00A674F6">
        <w:rPr>
          <w:rFonts w:asciiTheme="minorHAnsi" w:eastAsia="Calibri" w:hAnsiTheme="minorHAnsi" w:cstheme="minorHAnsi"/>
          <w:color w:val="auto"/>
          <w:szCs w:val="24"/>
          <w:lang w:val="en-AU"/>
        </w:rPr>
        <w:t>school staff</w:t>
      </w:r>
      <w:r w:rsidR="00506CB4" w:rsidRPr="007A16F5">
        <w:rPr>
          <w:rFonts w:asciiTheme="minorHAnsi" w:eastAsia="Calibri" w:hAnsiTheme="minorHAnsi" w:cstheme="minorHAnsi"/>
          <w:color w:val="auto"/>
          <w:szCs w:val="24"/>
          <w:lang w:val="en-AU"/>
        </w:rPr>
        <w:t xml:space="preserve"> can consider ways to systematically build the chances of social relationships emerging. This could include identifying interests that other students at the school might have in common with the target student, and then </w:t>
      </w:r>
      <w:r w:rsidR="00A674F6">
        <w:rPr>
          <w:rFonts w:asciiTheme="minorHAnsi" w:eastAsia="Calibri" w:hAnsiTheme="minorHAnsi" w:cstheme="minorHAnsi"/>
          <w:color w:val="auto"/>
          <w:szCs w:val="24"/>
          <w:lang w:val="en-AU"/>
        </w:rPr>
        <w:t>devising</w:t>
      </w:r>
      <w:r w:rsidR="00506CB4" w:rsidRPr="007A16F5">
        <w:rPr>
          <w:rFonts w:asciiTheme="minorHAnsi" w:eastAsia="Calibri" w:hAnsiTheme="minorHAnsi" w:cstheme="minorHAnsi"/>
          <w:color w:val="auto"/>
          <w:szCs w:val="24"/>
          <w:lang w:val="en-AU"/>
        </w:rPr>
        <w:t xml:space="preserve"> a way to bring those students together through that common interest. It can also involve techniques like </w:t>
      </w:r>
      <w:r w:rsidR="00A674F6">
        <w:rPr>
          <w:rFonts w:asciiTheme="minorHAnsi" w:eastAsia="Calibri" w:hAnsiTheme="minorHAnsi" w:cstheme="minorHAnsi"/>
          <w:color w:val="auto"/>
          <w:szCs w:val="24"/>
          <w:lang w:val="en-AU"/>
        </w:rPr>
        <w:t>‘C</w:t>
      </w:r>
      <w:r w:rsidR="00506CB4" w:rsidRPr="007A16F5">
        <w:rPr>
          <w:rFonts w:asciiTheme="minorHAnsi" w:eastAsia="Calibri" w:hAnsiTheme="minorHAnsi" w:cstheme="minorHAnsi"/>
          <w:color w:val="auto"/>
          <w:szCs w:val="24"/>
          <w:lang w:val="en-AU"/>
        </w:rPr>
        <w:t xml:space="preserve">ircles of </w:t>
      </w:r>
      <w:r w:rsidR="00A674F6">
        <w:rPr>
          <w:rFonts w:asciiTheme="minorHAnsi" w:eastAsia="Calibri" w:hAnsiTheme="minorHAnsi" w:cstheme="minorHAnsi"/>
          <w:color w:val="auto"/>
          <w:szCs w:val="24"/>
          <w:lang w:val="en-AU"/>
        </w:rPr>
        <w:t>S</w:t>
      </w:r>
      <w:r w:rsidR="00506CB4" w:rsidRPr="007A16F5">
        <w:rPr>
          <w:rFonts w:asciiTheme="minorHAnsi" w:eastAsia="Calibri" w:hAnsiTheme="minorHAnsi" w:cstheme="minorHAnsi"/>
          <w:color w:val="auto"/>
          <w:szCs w:val="24"/>
          <w:lang w:val="en-AU"/>
        </w:rPr>
        <w:t>upport</w:t>
      </w:r>
      <w:r w:rsidR="00A674F6">
        <w:rPr>
          <w:rFonts w:asciiTheme="minorHAnsi" w:eastAsia="Calibri" w:hAnsiTheme="minorHAnsi" w:cstheme="minorHAnsi"/>
          <w:color w:val="auto"/>
          <w:szCs w:val="24"/>
          <w:lang w:val="en-AU"/>
        </w:rPr>
        <w:t>’ – see tool in the Toolkit</w:t>
      </w:r>
      <w:r w:rsidR="00550E60">
        <w:rPr>
          <w:rFonts w:asciiTheme="minorHAnsi" w:eastAsia="Calibri" w:hAnsiTheme="minorHAnsi" w:cstheme="minorHAnsi"/>
          <w:color w:val="auto"/>
          <w:szCs w:val="24"/>
          <w:lang w:val="en-AU"/>
        </w:rPr>
        <w:t xml:space="preserve"> for more information on this approach to building social capital</w:t>
      </w:r>
      <w:r w:rsidR="00A674F6">
        <w:rPr>
          <w:rFonts w:asciiTheme="minorHAnsi" w:eastAsia="Calibri" w:hAnsiTheme="minorHAnsi" w:cstheme="minorHAnsi"/>
          <w:color w:val="auto"/>
          <w:szCs w:val="24"/>
          <w:lang w:val="en-AU"/>
        </w:rPr>
        <w:t xml:space="preserve">. </w:t>
      </w:r>
    </w:p>
    <w:p w14:paraId="6D33A39D" w14:textId="5AE2BFFD" w:rsidR="00506CB4" w:rsidRPr="00506CB4"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 xml:space="preserve">The above five reflections offer a framework for </w:t>
      </w:r>
      <w:r w:rsidR="007A16F5">
        <w:rPr>
          <w:rFonts w:asciiTheme="minorHAnsi" w:eastAsia="Calibri" w:hAnsiTheme="minorHAnsi" w:cstheme="minorHAnsi"/>
          <w:color w:val="auto"/>
          <w:szCs w:val="24"/>
          <w:lang w:val="en-AU"/>
        </w:rPr>
        <w:t>school staff</w:t>
      </w:r>
      <w:r w:rsidRPr="00506CB4">
        <w:rPr>
          <w:rFonts w:asciiTheme="minorHAnsi" w:eastAsia="Calibri" w:hAnsiTheme="minorHAnsi" w:cstheme="minorHAnsi"/>
          <w:color w:val="auto"/>
          <w:szCs w:val="24"/>
          <w:lang w:val="en-AU"/>
        </w:rPr>
        <w:t xml:space="preserve"> to begin thinking about how best to shape the school's efforts to </w:t>
      </w:r>
      <w:r w:rsidR="00550E60">
        <w:rPr>
          <w:rFonts w:asciiTheme="minorHAnsi" w:eastAsia="Calibri" w:hAnsiTheme="minorHAnsi" w:cstheme="minorHAnsi"/>
          <w:color w:val="auto"/>
          <w:szCs w:val="24"/>
          <w:lang w:val="en-AU"/>
        </w:rPr>
        <w:t xml:space="preserve">support </w:t>
      </w:r>
      <w:r w:rsidRPr="00506CB4">
        <w:rPr>
          <w:rFonts w:asciiTheme="minorHAnsi" w:eastAsia="Calibri" w:hAnsiTheme="minorHAnsi" w:cstheme="minorHAnsi"/>
          <w:color w:val="auto"/>
          <w:szCs w:val="24"/>
          <w:lang w:val="en-AU"/>
        </w:rPr>
        <w:t xml:space="preserve">a student living with increased vulnerability into Citizenhood at the </w:t>
      </w:r>
      <w:r w:rsidR="00550E60">
        <w:rPr>
          <w:rFonts w:asciiTheme="minorHAnsi" w:eastAsia="Calibri" w:hAnsiTheme="minorHAnsi" w:cstheme="minorHAnsi"/>
          <w:color w:val="auto"/>
          <w:szCs w:val="24"/>
          <w:lang w:val="en-AU"/>
        </w:rPr>
        <w:t>s</w:t>
      </w:r>
      <w:r w:rsidRPr="00506CB4">
        <w:rPr>
          <w:rFonts w:asciiTheme="minorHAnsi" w:eastAsia="Calibri" w:hAnsiTheme="minorHAnsi" w:cstheme="minorHAnsi"/>
          <w:color w:val="auto"/>
          <w:szCs w:val="24"/>
          <w:lang w:val="en-AU"/>
        </w:rPr>
        <w:t>chool.</w:t>
      </w:r>
    </w:p>
    <w:p w14:paraId="10680583" w14:textId="0BDED7A0" w:rsidR="00151331" w:rsidRPr="002362A1" w:rsidRDefault="00506CB4" w:rsidP="00A674F6">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 xml:space="preserve">It can also serve as the basis for a group of </w:t>
      </w:r>
      <w:r w:rsidR="00550E60">
        <w:rPr>
          <w:rFonts w:asciiTheme="minorHAnsi" w:eastAsia="Calibri" w:hAnsiTheme="minorHAnsi" w:cstheme="minorHAnsi"/>
          <w:color w:val="auto"/>
          <w:szCs w:val="24"/>
          <w:lang w:val="en-AU"/>
        </w:rPr>
        <w:t>school staff and other stakeholders</w:t>
      </w:r>
      <w:r w:rsidRPr="00506CB4">
        <w:rPr>
          <w:rFonts w:asciiTheme="minorHAnsi" w:eastAsia="Calibri" w:hAnsiTheme="minorHAnsi" w:cstheme="minorHAnsi"/>
          <w:color w:val="auto"/>
          <w:szCs w:val="24"/>
          <w:lang w:val="en-AU"/>
        </w:rPr>
        <w:t xml:space="preserve"> to come together to find solutions on behalf of the student.</w:t>
      </w:r>
    </w:p>
    <w:p w14:paraId="4AE449FF" w14:textId="77777777" w:rsidR="00506CB4" w:rsidRPr="002362A1" w:rsidRDefault="00506CB4" w:rsidP="00A674F6">
      <w:pPr>
        <w:spacing w:after="120" w:line="240" w:lineRule="auto"/>
        <w:ind w:left="0" w:right="0" w:firstLine="0"/>
        <w:rPr>
          <w:rFonts w:asciiTheme="minorHAnsi" w:eastAsia="Calibri" w:hAnsiTheme="minorHAnsi" w:cstheme="minorHAnsi"/>
          <w:color w:val="auto"/>
          <w:szCs w:val="24"/>
          <w:lang w:val="en-AU"/>
        </w:rPr>
      </w:pPr>
    </w:p>
    <w:p w14:paraId="21464708" w14:textId="083C67D5" w:rsidR="0057393D" w:rsidRPr="002362A1" w:rsidRDefault="007303B1" w:rsidP="00550E60">
      <w:pPr>
        <w:pStyle w:val="Heading2"/>
        <w:spacing w:before="0" w:after="120" w:line="240" w:lineRule="auto"/>
        <w:ind w:left="0" w:firstLine="0"/>
        <w:rPr>
          <w:rFonts w:asciiTheme="minorHAnsi" w:hAnsiTheme="minorHAnsi" w:cstheme="minorHAnsi"/>
        </w:rPr>
      </w:pPr>
      <w:r w:rsidRPr="002362A1">
        <w:rPr>
          <w:rFonts w:asciiTheme="minorHAnsi" w:hAnsiTheme="minorHAnsi" w:cstheme="minorHAnsi"/>
        </w:rPr>
        <w:t>M</w:t>
      </w:r>
      <w:r w:rsidR="00BB63F3" w:rsidRPr="002362A1">
        <w:rPr>
          <w:rFonts w:asciiTheme="minorHAnsi" w:hAnsiTheme="minorHAnsi" w:cstheme="minorHAnsi"/>
        </w:rPr>
        <w:t xml:space="preserve">ore </w:t>
      </w:r>
      <w:r w:rsidRPr="002362A1">
        <w:rPr>
          <w:rFonts w:asciiTheme="minorHAnsi" w:hAnsiTheme="minorHAnsi" w:cstheme="minorHAnsi"/>
        </w:rPr>
        <w:t>I</w:t>
      </w:r>
      <w:r w:rsidR="00BB63F3" w:rsidRPr="002362A1">
        <w:rPr>
          <w:rFonts w:asciiTheme="minorHAnsi" w:hAnsiTheme="minorHAnsi" w:cstheme="minorHAnsi"/>
        </w:rPr>
        <w:t>nformation</w:t>
      </w:r>
    </w:p>
    <w:p w14:paraId="1B9535F1" w14:textId="7B58BDAD" w:rsidR="00550E60" w:rsidRPr="00550E60" w:rsidRDefault="00550E60" w:rsidP="00550E60">
      <w:pPr>
        <w:spacing w:after="120" w:line="240" w:lineRule="auto"/>
        <w:ind w:left="0" w:right="0" w:firstLine="0"/>
        <w:rPr>
          <w:rFonts w:asciiTheme="minorHAnsi" w:eastAsia="Calibri" w:hAnsiTheme="minorHAnsi" w:cstheme="minorHAnsi"/>
          <w:color w:val="auto"/>
          <w:szCs w:val="24"/>
          <w:lang w:val="en-AU"/>
        </w:rPr>
      </w:pPr>
      <w:r w:rsidRPr="00550E60">
        <w:rPr>
          <w:rFonts w:asciiTheme="minorHAnsi" w:eastAsia="Calibri" w:hAnsiTheme="minorHAnsi" w:cstheme="minorHAnsi"/>
          <w:color w:val="auto"/>
          <w:szCs w:val="24"/>
          <w:lang w:val="en-AU"/>
        </w:rPr>
        <w:t>The best starting point is the Citizenhood publication by JFA Purple Orange:</w:t>
      </w:r>
    </w:p>
    <w:p w14:paraId="64F85D4C" w14:textId="34F60C38" w:rsidR="00550E60" w:rsidRPr="00550E60" w:rsidRDefault="00550E60" w:rsidP="00550E60">
      <w:pPr>
        <w:spacing w:after="120" w:line="240" w:lineRule="auto"/>
        <w:ind w:left="0" w:right="0" w:firstLine="0"/>
        <w:rPr>
          <w:rFonts w:asciiTheme="minorHAnsi" w:eastAsia="Calibri" w:hAnsiTheme="minorHAnsi" w:cstheme="minorHAnsi"/>
          <w:color w:val="auto"/>
          <w:szCs w:val="24"/>
          <w:lang w:val="en-AU"/>
        </w:rPr>
      </w:pPr>
      <w:r w:rsidRPr="00550E60">
        <w:rPr>
          <w:rFonts w:asciiTheme="minorHAnsi" w:hAnsiTheme="minorHAnsi" w:cstheme="minorHAnsi"/>
          <w:color w:val="auto"/>
          <w:szCs w:val="24"/>
        </w:rPr>
        <w:t>Williams, R. (2013). Model of Citizenhood Support 2</w:t>
      </w:r>
      <w:r w:rsidRPr="00550E60">
        <w:rPr>
          <w:rFonts w:asciiTheme="minorHAnsi" w:hAnsiTheme="minorHAnsi" w:cstheme="minorHAnsi"/>
          <w:color w:val="auto"/>
          <w:szCs w:val="24"/>
          <w:vertAlign w:val="superscript"/>
        </w:rPr>
        <w:t>nd</w:t>
      </w:r>
      <w:r w:rsidRPr="00550E60">
        <w:rPr>
          <w:rFonts w:asciiTheme="minorHAnsi" w:hAnsiTheme="minorHAnsi" w:cstheme="minorHAnsi"/>
          <w:color w:val="auto"/>
          <w:szCs w:val="24"/>
        </w:rPr>
        <w:t xml:space="preserve"> Edition. </w:t>
      </w:r>
      <w:r w:rsidRPr="00550E60">
        <w:rPr>
          <w:rFonts w:asciiTheme="minorHAnsi" w:eastAsia="Calibri" w:hAnsiTheme="minorHAnsi" w:cstheme="minorHAnsi"/>
          <w:color w:val="auto"/>
          <w:szCs w:val="24"/>
        </w:rPr>
        <w:t xml:space="preserve">Julia Farr Association. </w:t>
      </w:r>
      <w:r w:rsidRPr="00550E60">
        <w:rPr>
          <w:rFonts w:asciiTheme="minorHAnsi" w:hAnsiTheme="minorHAnsi" w:cstheme="minorHAnsi"/>
          <w:color w:val="auto"/>
          <w:szCs w:val="24"/>
        </w:rPr>
        <w:t xml:space="preserve">Available online  </w:t>
      </w:r>
      <w:hyperlink r:id="rId9" w:history="1">
        <w:r w:rsidRPr="00550E60">
          <w:rPr>
            <w:rStyle w:val="Hyperlink"/>
            <w:rFonts w:asciiTheme="minorHAnsi" w:hAnsiTheme="minorHAnsi" w:cstheme="minorHAnsi"/>
            <w:color w:val="auto"/>
            <w:szCs w:val="24"/>
            <w:u w:val="none"/>
          </w:rPr>
          <w:t>http://www.valuesinaction.org.au/application/files/7614/7253/8281/Model_of_Citizenhood_Support_2nd_Edition_FINAL.pdf</w:t>
        </w:r>
      </w:hyperlink>
      <w:r w:rsidRPr="00550E60">
        <w:rPr>
          <w:rFonts w:asciiTheme="minorHAnsi" w:hAnsiTheme="minorHAnsi" w:cstheme="minorHAnsi"/>
          <w:color w:val="auto"/>
          <w:szCs w:val="24"/>
        </w:rPr>
        <w:t xml:space="preserve"> or hardcopy </w:t>
      </w:r>
      <w:r w:rsidRPr="00550E60">
        <w:rPr>
          <w:rFonts w:asciiTheme="minorHAnsi" w:eastAsia="Calibri" w:hAnsiTheme="minorHAnsi" w:cstheme="minorHAnsi"/>
          <w:color w:val="auto"/>
          <w:szCs w:val="24"/>
        </w:rPr>
        <w:t xml:space="preserve">via </w:t>
      </w:r>
      <w:hyperlink r:id="rId10" w:history="1">
        <w:r w:rsidRPr="00550E60">
          <w:rPr>
            <w:rStyle w:val="Hyperlink"/>
            <w:rFonts w:asciiTheme="minorHAnsi" w:eastAsia="Calibri" w:hAnsiTheme="minorHAnsi" w:cstheme="minorHAnsi"/>
            <w:color w:val="auto"/>
            <w:szCs w:val="24"/>
            <w:u w:val="none"/>
          </w:rPr>
          <w:t>admin@purpleorange.org.au</w:t>
        </w:r>
      </w:hyperlink>
    </w:p>
    <w:p w14:paraId="5515FC76" w14:textId="0E2E560A" w:rsidR="00506CB4" w:rsidRPr="00506CB4" w:rsidRDefault="00506CB4" w:rsidP="00550E60">
      <w:pPr>
        <w:spacing w:after="120" w:line="240" w:lineRule="auto"/>
        <w:ind w:left="0" w:right="0" w:firstLine="0"/>
        <w:rPr>
          <w:rFonts w:asciiTheme="minorHAnsi" w:eastAsia="Calibri" w:hAnsiTheme="minorHAnsi" w:cstheme="minorHAnsi"/>
          <w:color w:val="auto"/>
          <w:szCs w:val="24"/>
          <w:lang w:val="en-AU"/>
        </w:rPr>
      </w:pPr>
      <w:r w:rsidRPr="00550E60">
        <w:rPr>
          <w:rFonts w:asciiTheme="minorHAnsi" w:eastAsia="Calibri" w:hAnsiTheme="minorHAnsi" w:cstheme="minorHAnsi"/>
          <w:color w:val="auto"/>
          <w:szCs w:val="24"/>
          <w:lang w:val="en-AU"/>
        </w:rPr>
        <w:t>S</w:t>
      </w:r>
      <w:r w:rsidRPr="00506CB4">
        <w:rPr>
          <w:rFonts w:asciiTheme="minorHAnsi" w:eastAsia="Calibri" w:hAnsiTheme="minorHAnsi" w:cstheme="minorHAnsi"/>
          <w:color w:val="auto"/>
          <w:szCs w:val="24"/>
          <w:lang w:val="en-AU"/>
        </w:rPr>
        <w:t xml:space="preserve">hort </w:t>
      </w:r>
      <w:r w:rsidRPr="00550E60">
        <w:rPr>
          <w:rFonts w:asciiTheme="minorHAnsi" w:eastAsia="Calibri" w:hAnsiTheme="minorHAnsi" w:cstheme="minorHAnsi"/>
          <w:color w:val="auto"/>
          <w:szCs w:val="24"/>
          <w:lang w:val="en-AU"/>
        </w:rPr>
        <w:t xml:space="preserve">animated </w:t>
      </w:r>
      <w:r w:rsidRPr="00506CB4">
        <w:rPr>
          <w:rFonts w:asciiTheme="minorHAnsi" w:eastAsia="Calibri" w:hAnsiTheme="minorHAnsi" w:cstheme="minorHAnsi"/>
          <w:color w:val="auto"/>
          <w:szCs w:val="24"/>
          <w:lang w:val="en-AU"/>
        </w:rPr>
        <w:t xml:space="preserve">video about </w:t>
      </w:r>
      <w:r w:rsidR="007A16F5" w:rsidRPr="00550E60">
        <w:rPr>
          <w:rFonts w:asciiTheme="minorHAnsi" w:eastAsia="Calibri" w:hAnsiTheme="minorHAnsi" w:cstheme="minorHAnsi"/>
          <w:color w:val="auto"/>
          <w:szCs w:val="24"/>
          <w:lang w:val="en-AU"/>
        </w:rPr>
        <w:t>The Model of Citizenhood Support and the concept of ‘a good life’</w:t>
      </w:r>
      <w:r w:rsidRPr="00506CB4">
        <w:rPr>
          <w:rFonts w:asciiTheme="minorHAnsi" w:eastAsia="Calibri" w:hAnsiTheme="minorHAnsi" w:cstheme="minorHAnsi"/>
          <w:color w:val="auto"/>
          <w:szCs w:val="24"/>
          <w:lang w:val="en-AU"/>
        </w:rPr>
        <w:t xml:space="preserve"> </w:t>
      </w:r>
      <w:r w:rsidR="007A16F5" w:rsidRPr="00550E60">
        <w:rPr>
          <w:rFonts w:asciiTheme="minorHAnsi" w:eastAsia="Calibri" w:hAnsiTheme="minorHAnsi" w:cstheme="minorHAnsi"/>
          <w:color w:val="auto"/>
          <w:szCs w:val="24"/>
          <w:lang w:val="en-AU"/>
        </w:rPr>
        <w:t>https://vimeo.com/241128511</w:t>
      </w:r>
    </w:p>
    <w:p w14:paraId="0956E598" w14:textId="539204AF" w:rsidR="00506CB4" w:rsidRPr="00506CB4" w:rsidRDefault="00506CB4" w:rsidP="00550E60">
      <w:pPr>
        <w:spacing w:after="120" w:line="240" w:lineRule="auto"/>
        <w:ind w:left="0" w:right="0" w:firstLine="0"/>
        <w:rPr>
          <w:rFonts w:asciiTheme="minorHAnsi" w:eastAsia="Calibri" w:hAnsiTheme="minorHAnsi" w:cstheme="minorHAnsi"/>
          <w:color w:val="auto"/>
          <w:szCs w:val="24"/>
          <w:lang w:val="en-AU"/>
        </w:rPr>
      </w:pPr>
      <w:r w:rsidRPr="00506CB4">
        <w:rPr>
          <w:rFonts w:asciiTheme="minorHAnsi" w:eastAsia="Calibri" w:hAnsiTheme="minorHAnsi" w:cstheme="minorHAnsi"/>
          <w:color w:val="auto"/>
          <w:szCs w:val="24"/>
          <w:lang w:val="en-AU"/>
        </w:rPr>
        <w:t>Because Citizenhood is anchored on the idea of people taking up valued roles in their lives, it is also worth looking at the body of work called Social Role Valorisation (SRV)</w:t>
      </w:r>
      <w:r w:rsidR="002362A1" w:rsidRPr="00550E60">
        <w:rPr>
          <w:rFonts w:asciiTheme="minorHAnsi" w:eastAsia="Calibri" w:hAnsiTheme="minorHAnsi" w:cstheme="minorHAnsi"/>
          <w:color w:val="auto"/>
          <w:szCs w:val="24"/>
          <w:lang w:val="en-AU"/>
        </w:rPr>
        <w:t>. Article about SRV theory by the International Social Role Valorization Association</w:t>
      </w:r>
      <w:r w:rsidR="00550E60">
        <w:rPr>
          <w:rFonts w:asciiTheme="minorHAnsi" w:eastAsia="Calibri" w:hAnsiTheme="minorHAnsi" w:cstheme="minorHAnsi"/>
          <w:color w:val="auto"/>
          <w:szCs w:val="24"/>
          <w:lang w:val="en-AU"/>
        </w:rPr>
        <w:t xml:space="preserve"> </w:t>
      </w:r>
      <w:r w:rsidR="002362A1" w:rsidRPr="00550E60">
        <w:rPr>
          <w:rFonts w:asciiTheme="minorHAnsi" w:eastAsia="Calibri" w:hAnsiTheme="minorHAnsi" w:cstheme="minorHAnsi"/>
          <w:color w:val="auto"/>
          <w:szCs w:val="24"/>
          <w:lang w:val="en-AU"/>
        </w:rPr>
        <w:t xml:space="preserve">  </w:t>
      </w:r>
      <w:r w:rsidR="00550E60" w:rsidRPr="00550E60">
        <w:rPr>
          <w:rFonts w:asciiTheme="minorHAnsi" w:eastAsia="Calibri" w:hAnsiTheme="minorHAnsi" w:cstheme="minorHAnsi"/>
          <w:color w:val="auto"/>
          <w:szCs w:val="24"/>
          <w:lang w:val="en-AU"/>
        </w:rPr>
        <w:t>https://socialrolevalorization.com/srv-theory/</w:t>
      </w:r>
      <w:r w:rsidRPr="00506CB4">
        <w:rPr>
          <w:rFonts w:asciiTheme="minorHAnsi" w:eastAsia="Calibri" w:hAnsiTheme="minorHAnsi" w:cstheme="minorHAnsi"/>
          <w:color w:val="auto"/>
          <w:szCs w:val="24"/>
          <w:lang w:val="en-AU"/>
        </w:rPr>
        <w:t xml:space="preserve"> </w:t>
      </w:r>
    </w:p>
    <w:p w14:paraId="48A70BAA" w14:textId="77777777" w:rsidR="001A5809" w:rsidRPr="001A5809" w:rsidRDefault="001A5809" w:rsidP="00A674F6">
      <w:pPr>
        <w:spacing w:after="120" w:line="240" w:lineRule="auto"/>
        <w:ind w:left="0" w:right="0" w:firstLine="0"/>
        <w:rPr>
          <w:rFonts w:asciiTheme="minorHAnsi" w:eastAsia="Calibri" w:hAnsiTheme="minorHAnsi" w:cstheme="minorHAnsi"/>
          <w:color w:val="auto"/>
          <w:szCs w:val="24"/>
          <w:lang w:val="en-AU"/>
        </w:rPr>
      </w:pPr>
    </w:p>
    <w:p w14:paraId="091FEE96" w14:textId="77777777" w:rsidR="001A5809" w:rsidRPr="001A5809" w:rsidRDefault="001A5809" w:rsidP="00A674F6">
      <w:pPr>
        <w:keepNext/>
        <w:keepLines/>
        <w:spacing w:after="120" w:line="240" w:lineRule="auto"/>
        <w:ind w:left="17" w:right="0" w:hanging="11"/>
        <w:outlineLvl w:val="0"/>
        <w:rPr>
          <w:rFonts w:ascii="Calibri" w:eastAsia="Calibri" w:hAnsi="Calibri" w:cs="Calibri"/>
          <w:b/>
          <w:noProof/>
          <w:color w:val="519B4B"/>
          <w:w w:val="105"/>
          <w:sz w:val="28"/>
          <w:szCs w:val="32"/>
          <w:lang w:val="en-AU"/>
        </w:rPr>
      </w:pPr>
      <w:r w:rsidRPr="001A5809">
        <w:rPr>
          <w:rFonts w:ascii="Calibri" w:eastAsia="Calibri" w:hAnsi="Calibri" w:cs="Calibri"/>
          <w:b/>
          <w:noProof/>
          <w:color w:val="519B4B"/>
          <w:w w:val="105"/>
          <w:sz w:val="28"/>
          <w:szCs w:val="32"/>
          <w:lang w:val="en-AU"/>
        </w:rPr>
        <w:t xml:space="preserve">Acknowledgement </w:t>
      </w:r>
    </w:p>
    <w:p w14:paraId="1FE92B06" w14:textId="46702843" w:rsidR="00151331" w:rsidRPr="002362A1" w:rsidRDefault="00225C2E" w:rsidP="002362A1">
      <w:pPr>
        <w:spacing w:after="120" w:line="240" w:lineRule="auto"/>
        <w:ind w:left="0" w:right="0" w:firstLine="0"/>
        <w:rPr>
          <w:rFonts w:asciiTheme="minorHAnsi" w:eastAsia="Calibri" w:hAnsiTheme="minorHAnsi" w:cstheme="minorHAnsi"/>
          <w:color w:val="0000FF"/>
          <w:szCs w:val="24"/>
          <w:u w:val="single"/>
          <w:lang w:val="en-AU"/>
        </w:rPr>
      </w:pPr>
      <w:r w:rsidRPr="00225C2E">
        <w:rPr>
          <w:rFonts w:ascii="Calibri" w:eastAsia="Calibri" w:hAnsi="Calibri" w:cs="Calibri"/>
          <w:color w:val="auto"/>
          <w:szCs w:val="24"/>
          <w:lang w:val="en-AU"/>
        </w:rPr>
        <w:t xml:space="preserve">This tool was written by Robbi Williams, CEO of Julia Farr group </w:t>
      </w:r>
      <w:r w:rsidR="008B1141">
        <w:rPr>
          <w:rFonts w:ascii="Calibri" w:eastAsia="Calibri" w:hAnsi="Calibri" w:cs="Calibri"/>
          <w:color w:val="auto"/>
          <w:szCs w:val="24"/>
          <w:lang w:val="en-AU"/>
        </w:rPr>
        <w:t>and</w:t>
      </w:r>
      <w:r w:rsidRPr="00225C2E">
        <w:rPr>
          <w:rFonts w:ascii="Calibri" w:eastAsia="Calibri" w:hAnsi="Calibri" w:cs="Calibri"/>
          <w:color w:val="auto"/>
          <w:szCs w:val="24"/>
          <w:lang w:val="en-AU"/>
        </w:rPr>
        <w:t xml:space="preserve"> edit</w:t>
      </w:r>
      <w:r w:rsidR="008B1141">
        <w:rPr>
          <w:rFonts w:ascii="Calibri" w:eastAsia="Calibri" w:hAnsi="Calibri" w:cs="Calibri"/>
          <w:color w:val="auto"/>
          <w:szCs w:val="24"/>
          <w:lang w:val="en-AU"/>
        </w:rPr>
        <w:t>ed</w:t>
      </w:r>
      <w:r w:rsidRPr="00225C2E">
        <w:rPr>
          <w:rFonts w:ascii="Calibri" w:eastAsia="Calibri" w:hAnsi="Calibri" w:cs="Calibri"/>
          <w:color w:val="auto"/>
          <w:szCs w:val="24"/>
          <w:lang w:val="en-AU"/>
        </w:rPr>
        <w:t xml:space="preserve"> by </w:t>
      </w:r>
      <w:bookmarkStart w:id="1" w:name="_GoBack"/>
      <w:bookmarkEnd w:id="1"/>
      <w:r w:rsidRPr="00225C2E">
        <w:rPr>
          <w:rFonts w:ascii="Calibri" w:eastAsia="Calibri" w:hAnsi="Calibri" w:cs="Calibri"/>
          <w:color w:val="auto"/>
          <w:szCs w:val="24"/>
          <w:lang w:val="en-AU"/>
        </w:rPr>
        <w:t>JFA Purple Orange.</w:t>
      </w:r>
    </w:p>
    <w:p w14:paraId="44FF1E3D" w14:textId="0D3E93BC" w:rsidR="00151331" w:rsidRDefault="00151331" w:rsidP="002362A1">
      <w:pPr>
        <w:spacing w:after="120" w:line="240" w:lineRule="auto"/>
        <w:ind w:left="0" w:right="0" w:firstLine="0"/>
        <w:rPr>
          <w:rFonts w:asciiTheme="minorHAnsi" w:eastAsia="Calibri" w:hAnsiTheme="minorHAnsi" w:cstheme="minorHAnsi"/>
          <w:color w:val="0000FF"/>
          <w:szCs w:val="24"/>
          <w:u w:val="single"/>
          <w:lang w:val="en-AU"/>
        </w:rPr>
      </w:pPr>
    </w:p>
    <w:p w14:paraId="34B64460" w14:textId="77777777" w:rsidR="00550E60" w:rsidRPr="002362A1" w:rsidRDefault="00550E60" w:rsidP="002362A1">
      <w:pPr>
        <w:spacing w:after="120" w:line="240" w:lineRule="auto"/>
        <w:ind w:left="0" w:right="0" w:firstLine="0"/>
        <w:rPr>
          <w:rFonts w:asciiTheme="minorHAnsi" w:eastAsia="Calibri" w:hAnsiTheme="minorHAnsi" w:cstheme="minorHAnsi"/>
          <w:color w:val="0000FF"/>
          <w:szCs w:val="24"/>
          <w:u w:val="single"/>
          <w:lang w:val="en-AU"/>
        </w:rPr>
      </w:pPr>
    </w:p>
    <w:p w14:paraId="6C7CCFDC" w14:textId="4F69EFBD" w:rsidR="00ED20DB" w:rsidRPr="002362A1" w:rsidRDefault="00550E60" w:rsidP="00550E60">
      <w:pPr>
        <w:spacing w:after="120" w:line="240" w:lineRule="auto"/>
        <w:ind w:left="0" w:right="0" w:firstLine="0"/>
        <w:jc w:val="right"/>
        <w:rPr>
          <w:rFonts w:asciiTheme="minorHAnsi" w:eastAsia="Calibri" w:hAnsiTheme="minorHAnsi" w:cstheme="minorHAnsi"/>
          <w:color w:val="0000FF"/>
          <w:szCs w:val="24"/>
          <w:u w:val="single"/>
          <w:lang w:val="en-AU"/>
        </w:rPr>
      </w:pPr>
      <w:r w:rsidRPr="002362A1">
        <w:rPr>
          <w:rFonts w:asciiTheme="minorHAnsi" w:eastAsia="Calibri" w:hAnsiTheme="minorHAnsi" w:cstheme="minorHAnsi"/>
          <w:noProof/>
          <w:color w:val="0000FF"/>
          <w:szCs w:val="24"/>
          <w:lang w:val="en-AU"/>
        </w:rPr>
        <w:drawing>
          <wp:inline distT="0" distB="0" distL="0" distR="0" wp14:anchorId="47965A64" wp14:editId="6E168791">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2362A1" w:rsidSect="00151331">
      <w:headerReference w:type="default" r:id="rId12"/>
      <w:footerReference w:type="default" r:id="rId13"/>
      <w:footerReference w:type="first" r:id="rId14"/>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209CAC74" w14:textId="46D9106A" w:rsidR="00506CB4" w:rsidRPr="00506CB4" w:rsidRDefault="00506CB4" w:rsidP="00506CB4">
      <w:pPr>
        <w:pStyle w:val="FootnoteText"/>
        <w:rPr>
          <w:rFonts w:asciiTheme="minorHAnsi" w:hAnsiTheme="minorHAnsi" w:cstheme="minorHAnsi"/>
          <w:sz w:val="18"/>
          <w:szCs w:val="18"/>
        </w:rPr>
      </w:pPr>
      <w:r w:rsidRPr="00506CB4">
        <w:rPr>
          <w:rStyle w:val="FootnoteReference"/>
          <w:rFonts w:asciiTheme="minorHAnsi" w:hAnsiTheme="minorHAnsi" w:cstheme="minorHAnsi"/>
          <w:sz w:val="18"/>
          <w:szCs w:val="18"/>
        </w:rPr>
        <w:footnoteRef/>
      </w:r>
      <w:r w:rsidRPr="00506CB4">
        <w:rPr>
          <w:rFonts w:asciiTheme="minorHAnsi" w:hAnsiTheme="minorHAnsi" w:cstheme="minorHAnsi"/>
          <w:sz w:val="18"/>
          <w:szCs w:val="18"/>
        </w:rPr>
        <w:t xml:space="preserve"> Williams, R. (2013)</w:t>
      </w:r>
      <w:r w:rsidR="001A5809">
        <w:rPr>
          <w:rFonts w:asciiTheme="minorHAnsi" w:hAnsiTheme="minorHAnsi" w:cstheme="minorHAnsi"/>
          <w:sz w:val="18"/>
          <w:szCs w:val="18"/>
        </w:rPr>
        <w:t>.</w:t>
      </w:r>
      <w:r w:rsidRPr="00506CB4">
        <w:rPr>
          <w:rFonts w:asciiTheme="minorHAnsi" w:hAnsiTheme="minorHAnsi" w:cstheme="minorHAnsi"/>
          <w:sz w:val="18"/>
          <w:szCs w:val="18"/>
        </w:rPr>
        <w:t xml:space="preserve"> Model of Citizenhood Support 2</w:t>
      </w:r>
      <w:r w:rsidRPr="00506CB4">
        <w:rPr>
          <w:rFonts w:asciiTheme="minorHAnsi" w:hAnsiTheme="minorHAnsi" w:cstheme="minorHAnsi"/>
          <w:sz w:val="18"/>
          <w:szCs w:val="18"/>
          <w:vertAlign w:val="superscript"/>
        </w:rPr>
        <w:t>nd</w:t>
      </w:r>
      <w:r w:rsidRPr="00506CB4">
        <w:rPr>
          <w:rFonts w:asciiTheme="minorHAnsi" w:hAnsiTheme="minorHAnsi" w:cstheme="minorHAnsi"/>
          <w:sz w:val="18"/>
          <w:szCs w:val="18"/>
        </w:rPr>
        <w:t xml:space="preserve"> Edition</w:t>
      </w:r>
      <w:r w:rsidR="001A5809">
        <w:rPr>
          <w:rFonts w:asciiTheme="minorHAnsi" w:hAnsiTheme="minorHAnsi" w:cstheme="minorHAnsi"/>
          <w:sz w:val="18"/>
          <w:szCs w:val="18"/>
        </w:rPr>
        <w:t>.</w:t>
      </w:r>
      <w:r w:rsidRPr="00506CB4">
        <w:rPr>
          <w:rFonts w:asciiTheme="minorHAnsi" w:hAnsiTheme="minorHAnsi" w:cstheme="minorHAnsi"/>
          <w:sz w:val="18"/>
          <w:szCs w:val="18"/>
        </w:rPr>
        <w:t xml:space="preserve"> </w:t>
      </w:r>
      <w:r w:rsidR="001A5809">
        <w:rPr>
          <w:rFonts w:asciiTheme="minorHAnsi" w:hAnsiTheme="minorHAnsi" w:cstheme="minorHAnsi"/>
          <w:sz w:val="18"/>
          <w:szCs w:val="18"/>
        </w:rPr>
        <w:t xml:space="preserve">Retrieved from </w:t>
      </w:r>
      <w:r w:rsidRPr="00506CB4">
        <w:rPr>
          <w:rFonts w:asciiTheme="minorHAnsi" w:hAnsiTheme="minorHAnsi" w:cstheme="minorHAnsi"/>
          <w:sz w:val="18"/>
          <w:szCs w:val="18"/>
        </w:rPr>
        <w:t>http://www.valuesinaction.org.au/application/files/7614/7253/8281/Model_of_Citizenhood_Support_2nd_Edition_FINAL.pdf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2E34"/>
    <w:multiLevelType w:val="hybridMultilevel"/>
    <w:tmpl w:val="7B085C7C"/>
    <w:lvl w:ilvl="0" w:tplc="2AD6A94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31C9E"/>
    <w:multiLevelType w:val="hybridMultilevel"/>
    <w:tmpl w:val="3BF0F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66996"/>
    <w:multiLevelType w:val="hybridMultilevel"/>
    <w:tmpl w:val="C6902402"/>
    <w:lvl w:ilvl="0" w:tplc="2AD6A94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8"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15:restartNumberingAfterBreak="0">
    <w:nsid w:val="55FE364F"/>
    <w:multiLevelType w:val="hybridMultilevel"/>
    <w:tmpl w:val="52364AA8"/>
    <w:lvl w:ilvl="0" w:tplc="1E643B98">
      <w:start w:val="1"/>
      <w:numFmt w:val="decimal"/>
      <w:lvlText w:val="%1."/>
      <w:lvlJc w:val="left"/>
      <w:pPr>
        <w:ind w:left="723" w:hanging="360"/>
      </w:pPr>
      <w:rPr>
        <w:b w:val="0"/>
        <w:bCs/>
        <w:i w:val="0"/>
        <w:iCs/>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3" w15:restartNumberingAfterBreak="0">
    <w:nsid w:val="60F67AF8"/>
    <w:multiLevelType w:val="hybridMultilevel"/>
    <w:tmpl w:val="8C42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num w:numId="1">
    <w:abstractNumId w:val="11"/>
  </w:num>
  <w:num w:numId="2">
    <w:abstractNumId w:val="7"/>
  </w:num>
  <w:num w:numId="3">
    <w:abstractNumId w:val="14"/>
  </w:num>
  <w:num w:numId="4">
    <w:abstractNumId w:val="5"/>
  </w:num>
  <w:num w:numId="5">
    <w:abstractNumId w:val="2"/>
  </w:num>
  <w:num w:numId="6">
    <w:abstractNumId w:val="3"/>
  </w:num>
  <w:num w:numId="7">
    <w:abstractNumId w:val="6"/>
  </w:num>
  <w:num w:numId="8">
    <w:abstractNumId w:val="9"/>
  </w:num>
  <w:num w:numId="9">
    <w:abstractNumId w:val="8"/>
  </w:num>
  <w:num w:numId="10">
    <w:abstractNumId w:val="10"/>
  </w:num>
  <w:num w:numId="11">
    <w:abstractNumId w:val="13"/>
  </w:num>
  <w:num w:numId="12">
    <w:abstractNumId w:val="4"/>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638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51331"/>
    <w:rsid w:val="001A5809"/>
    <w:rsid w:val="002105EC"/>
    <w:rsid w:val="00225C2E"/>
    <w:rsid w:val="002362A1"/>
    <w:rsid w:val="00247B64"/>
    <w:rsid w:val="00267E9E"/>
    <w:rsid w:val="0027503A"/>
    <w:rsid w:val="00293303"/>
    <w:rsid w:val="0029493B"/>
    <w:rsid w:val="002E0578"/>
    <w:rsid w:val="00360D00"/>
    <w:rsid w:val="003B33B4"/>
    <w:rsid w:val="003D638B"/>
    <w:rsid w:val="00400C96"/>
    <w:rsid w:val="004316C2"/>
    <w:rsid w:val="004658F4"/>
    <w:rsid w:val="00483FF7"/>
    <w:rsid w:val="00490633"/>
    <w:rsid w:val="00506CB4"/>
    <w:rsid w:val="00512492"/>
    <w:rsid w:val="005234DA"/>
    <w:rsid w:val="00550E60"/>
    <w:rsid w:val="005545FE"/>
    <w:rsid w:val="00560670"/>
    <w:rsid w:val="0057393D"/>
    <w:rsid w:val="00581C93"/>
    <w:rsid w:val="00591091"/>
    <w:rsid w:val="005A5F72"/>
    <w:rsid w:val="005B566E"/>
    <w:rsid w:val="005B5AB5"/>
    <w:rsid w:val="005C3C5D"/>
    <w:rsid w:val="005C7803"/>
    <w:rsid w:val="005F4C28"/>
    <w:rsid w:val="00604845"/>
    <w:rsid w:val="006710EF"/>
    <w:rsid w:val="006E1993"/>
    <w:rsid w:val="00713E94"/>
    <w:rsid w:val="007303B1"/>
    <w:rsid w:val="007316A5"/>
    <w:rsid w:val="00734472"/>
    <w:rsid w:val="007A16F5"/>
    <w:rsid w:val="007A2C9C"/>
    <w:rsid w:val="007B7989"/>
    <w:rsid w:val="007D5523"/>
    <w:rsid w:val="00800606"/>
    <w:rsid w:val="00800754"/>
    <w:rsid w:val="0082199A"/>
    <w:rsid w:val="00827D90"/>
    <w:rsid w:val="00882851"/>
    <w:rsid w:val="008B1141"/>
    <w:rsid w:val="008B38C5"/>
    <w:rsid w:val="008C0421"/>
    <w:rsid w:val="008D1D15"/>
    <w:rsid w:val="008F64DB"/>
    <w:rsid w:val="00913B17"/>
    <w:rsid w:val="00915AFE"/>
    <w:rsid w:val="009611E0"/>
    <w:rsid w:val="00965723"/>
    <w:rsid w:val="009A0198"/>
    <w:rsid w:val="00A1348E"/>
    <w:rsid w:val="00A22B47"/>
    <w:rsid w:val="00A25A5F"/>
    <w:rsid w:val="00A674F6"/>
    <w:rsid w:val="00AA4B12"/>
    <w:rsid w:val="00B329F6"/>
    <w:rsid w:val="00B41DEA"/>
    <w:rsid w:val="00BA3F61"/>
    <w:rsid w:val="00BB63F3"/>
    <w:rsid w:val="00BE6FCF"/>
    <w:rsid w:val="00BF47D4"/>
    <w:rsid w:val="00C01C00"/>
    <w:rsid w:val="00C224F8"/>
    <w:rsid w:val="00CA652B"/>
    <w:rsid w:val="00CB1C39"/>
    <w:rsid w:val="00D774D6"/>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Headinggreenitalics">
    <w:name w:val="Heading green italics"/>
    <w:basedOn w:val="Heading2"/>
    <w:link w:val="HeadinggreenitalicsChar"/>
    <w:qFormat/>
    <w:rsid w:val="00506CB4"/>
    <w:pPr>
      <w:spacing w:before="0" w:after="120" w:line="240" w:lineRule="auto"/>
      <w:ind w:left="0"/>
    </w:pPr>
    <w:rPr>
      <w:i/>
      <w:iCs/>
      <w:sz w:val="24"/>
      <w:szCs w:val="24"/>
    </w:rPr>
  </w:style>
  <w:style w:type="character" w:styleId="FollowedHyperlink">
    <w:name w:val="FollowedHyperlink"/>
    <w:basedOn w:val="DefaultParagraphFont"/>
    <w:uiPriority w:val="99"/>
    <w:semiHidden/>
    <w:unhideWhenUsed/>
    <w:rsid w:val="00506CB4"/>
    <w:rPr>
      <w:color w:val="954F72" w:themeColor="followedHyperlink"/>
      <w:u w:val="single"/>
    </w:rPr>
  </w:style>
  <w:style w:type="character" w:customStyle="1" w:styleId="HeadinggreenitalicsChar">
    <w:name w:val="Heading green italics Char"/>
    <w:basedOn w:val="Heading2Char"/>
    <w:link w:val="Headinggreenitalics"/>
    <w:rsid w:val="00506CB4"/>
    <w:rPr>
      <w:rFonts w:ascii="Calibri" w:eastAsia="Calibri" w:hAnsi="Calibri" w:cs="Calibri"/>
      <w:b/>
      <w:i/>
      <w:iCs/>
      <w:noProof/>
      <w:color w:val="519B4B"/>
      <w:w w:val="10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purpleorange.org.au" TargetMode="External"/><Relationship Id="rId4" Type="http://schemas.openxmlformats.org/officeDocument/2006/relationships/image" Target="media/image1.png"/><Relationship Id="rId9" Type="http://schemas.openxmlformats.org/officeDocument/2006/relationships/hyperlink" Target="http://www.valuesinaction.org.au/application/files/7614/7253/8281/Model_of_Citizenhood_Support_2nd_Edition_FINA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1FBAD-FBFE-4C96-A927-75DE1CAE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8</cp:revision>
  <cp:lastPrinted>2019-12-11T01:44:00Z</cp:lastPrinted>
  <dcterms:created xsi:type="dcterms:W3CDTF">2019-12-19T23:58:00Z</dcterms:created>
  <dcterms:modified xsi:type="dcterms:W3CDTF">2020-01-03T04:27:00Z</dcterms:modified>
</cp:coreProperties>
</file>