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90090F" w:rsidRDefault="00BB63F3" w:rsidP="0090090F">
      <w:pPr>
        <w:pStyle w:val="Heading10"/>
        <w:spacing w:after="120" w:line="240" w:lineRule="auto"/>
        <w:rPr>
          <w:rFonts w:asciiTheme="minorHAnsi" w:hAnsiTheme="minorHAnsi" w:cstheme="minorHAnsi"/>
          <w:sz w:val="32"/>
          <w:szCs w:val="32"/>
        </w:rPr>
      </w:pPr>
      <w:bookmarkStart w:id="0" w:name="_Hlk26971806"/>
      <w:bookmarkEnd w:id="0"/>
      <w:r w:rsidRPr="0090090F">
        <w:rPr>
          <w:rFonts w:asciiTheme="minorHAnsi" w:hAnsiTheme="minorHAnsi" w:cstheme="minorHAnsi"/>
          <w:sz w:val="32"/>
          <w:szCs w:val="32"/>
        </w:rPr>
        <w:t>Inclusive School Practices Toolkit</w:t>
      </w:r>
    </w:p>
    <w:p w14:paraId="63612CDE" w14:textId="77777777" w:rsidR="004D1B1D" w:rsidRPr="0090090F" w:rsidRDefault="009375E2" w:rsidP="0090090F">
      <w:pPr>
        <w:pStyle w:val="Heading10"/>
        <w:spacing w:after="120" w:line="240" w:lineRule="auto"/>
        <w:rPr>
          <w:rFonts w:asciiTheme="minorHAnsi" w:hAnsiTheme="minorHAnsi" w:cstheme="minorHAnsi"/>
          <w:sz w:val="48"/>
          <w:szCs w:val="48"/>
        </w:rPr>
      </w:pPr>
      <w:bookmarkStart w:id="1" w:name="_Hlk26954774"/>
      <w:r w:rsidRPr="0090090F">
        <w:rPr>
          <w:rFonts w:asciiTheme="minorHAnsi" w:hAnsiTheme="minorHAnsi" w:cstheme="minorHAnsi"/>
          <w:sz w:val="48"/>
          <w:szCs w:val="48"/>
        </w:rPr>
        <w:t xml:space="preserve">Exploring Disability and Inclusion Tool </w:t>
      </w:r>
      <w:r w:rsidR="004D1B1D" w:rsidRPr="0090090F">
        <w:rPr>
          <w:rFonts w:asciiTheme="minorHAnsi" w:hAnsiTheme="minorHAnsi" w:cstheme="minorHAnsi"/>
          <w:sz w:val="48"/>
          <w:szCs w:val="48"/>
        </w:rPr>
        <w:t>3:</w:t>
      </w:r>
    </w:p>
    <w:p w14:paraId="001A7045" w14:textId="22032791" w:rsidR="00B329F6" w:rsidRPr="0090090F" w:rsidRDefault="004D1B1D" w:rsidP="0090090F">
      <w:pPr>
        <w:pStyle w:val="Heading10"/>
        <w:spacing w:after="120" w:line="240" w:lineRule="auto"/>
        <w:rPr>
          <w:rFonts w:asciiTheme="minorHAnsi" w:hAnsiTheme="minorHAnsi" w:cstheme="minorHAnsi"/>
          <w:sz w:val="48"/>
          <w:szCs w:val="48"/>
        </w:rPr>
      </w:pPr>
      <w:r w:rsidRPr="0090090F">
        <w:rPr>
          <w:rFonts w:asciiTheme="minorHAnsi" w:hAnsiTheme="minorHAnsi" w:cstheme="minorHAnsi"/>
          <w:sz w:val="48"/>
          <w:szCs w:val="48"/>
        </w:rPr>
        <w:t>Applying the Social Model of Disability to School Inclusion</w:t>
      </w:r>
    </w:p>
    <w:bookmarkEnd w:id="1"/>
    <w:p w14:paraId="1222DD9D" w14:textId="2C58DCE8" w:rsidR="00BB63F3" w:rsidRPr="0090090F" w:rsidRDefault="00BB63F3" w:rsidP="0090090F">
      <w:pPr>
        <w:spacing w:after="120" w:line="240" w:lineRule="auto"/>
        <w:ind w:left="0" w:right="0" w:firstLine="0"/>
        <w:rPr>
          <w:rFonts w:asciiTheme="minorHAnsi" w:eastAsia="Calibri" w:hAnsiTheme="minorHAnsi" w:cstheme="minorHAnsi"/>
          <w:color w:val="auto"/>
          <w:szCs w:val="24"/>
        </w:rPr>
      </w:pPr>
      <w:r w:rsidRPr="0090090F">
        <w:rPr>
          <w:rFonts w:asciiTheme="minorHAnsi" w:eastAsia="Calibri" w:hAnsiTheme="minorHAnsi" w:cstheme="minorHAnsi"/>
          <w:color w:val="auto"/>
          <w:szCs w:val="24"/>
        </w:rPr>
        <w:t xml:space="preserve">This tool has been developed as part of the </w:t>
      </w:r>
      <w:r w:rsidRPr="0090090F">
        <w:rPr>
          <w:rFonts w:asciiTheme="minorHAnsi" w:eastAsia="Calibri" w:hAnsiTheme="minorHAnsi" w:cstheme="minorHAnsi"/>
          <w:i/>
          <w:color w:val="auto"/>
          <w:szCs w:val="24"/>
        </w:rPr>
        <w:t xml:space="preserve">Inclusive School Communities </w:t>
      </w:r>
      <w:r w:rsidR="007303B1" w:rsidRPr="0090090F">
        <w:rPr>
          <w:rFonts w:asciiTheme="minorHAnsi" w:eastAsia="Calibri" w:hAnsiTheme="minorHAnsi" w:cstheme="minorHAnsi"/>
          <w:i/>
          <w:color w:val="auto"/>
          <w:szCs w:val="24"/>
        </w:rPr>
        <w:t>P</w:t>
      </w:r>
      <w:r w:rsidRPr="0090090F">
        <w:rPr>
          <w:rFonts w:asciiTheme="minorHAnsi" w:eastAsia="Calibri" w:hAnsiTheme="minorHAnsi" w:cstheme="minorHAnsi"/>
          <w:i/>
          <w:color w:val="auto"/>
          <w:szCs w:val="24"/>
        </w:rPr>
        <w:t>roject</w:t>
      </w:r>
      <w:r w:rsidRPr="0090090F">
        <w:rPr>
          <w:rFonts w:asciiTheme="minorHAnsi" w:eastAsia="Calibri" w:hAnsiTheme="minorHAnsi" w:cstheme="minorHAnsi"/>
          <w:color w:val="auto"/>
          <w:szCs w:val="24"/>
        </w:rPr>
        <w:t xml:space="preserve">, funded by the National Disability Insurance Agency. The project is </w:t>
      </w:r>
      <w:r w:rsidR="007303B1" w:rsidRPr="0090090F">
        <w:rPr>
          <w:rFonts w:asciiTheme="minorHAnsi" w:eastAsia="Calibri" w:hAnsiTheme="minorHAnsi" w:cstheme="minorHAnsi"/>
          <w:color w:val="auto"/>
          <w:szCs w:val="24"/>
        </w:rPr>
        <w:t>led</w:t>
      </w:r>
      <w:r w:rsidRPr="0090090F">
        <w:rPr>
          <w:rFonts w:asciiTheme="minorHAnsi" w:eastAsia="Calibri" w:hAnsiTheme="minorHAnsi" w:cstheme="minorHAnsi"/>
          <w:color w:val="auto"/>
          <w:szCs w:val="24"/>
        </w:rPr>
        <w:t xml:space="preserve"> by JFA Purple Orange.</w:t>
      </w:r>
    </w:p>
    <w:p w14:paraId="15E93C76" w14:textId="77777777" w:rsidR="007303B1" w:rsidRPr="0090090F" w:rsidRDefault="007303B1" w:rsidP="0090090F">
      <w:pPr>
        <w:spacing w:after="120" w:line="240" w:lineRule="auto"/>
        <w:ind w:left="0" w:right="0" w:firstLine="0"/>
        <w:rPr>
          <w:rFonts w:asciiTheme="minorHAnsi" w:eastAsia="Calibri" w:hAnsiTheme="minorHAnsi" w:cstheme="minorHAnsi"/>
          <w:color w:val="auto"/>
          <w:szCs w:val="24"/>
        </w:rPr>
      </w:pPr>
    </w:p>
    <w:p w14:paraId="1151C316" w14:textId="015C7123" w:rsidR="00293303" w:rsidRPr="0090090F" w:rsidRDefault="007A2C9C" w:rsidP="0090090F">
      <w:pPr>
        <w:pStyle w:val="Heading2"/>
        <w:spacing w:before="0" w:after="120" w:line="240" w:lineRule="auto"/>
        <w:ind w:left="0"/>
        <w:rPr>
          <w:rFonts w:asciiTheme="minorHAnsi" w:hAnsiTheme="minorHAnsi" w:cstheme="minorHAnsi"/>
        </w:rPr>
      </w:pPr>
      <w:r w:rsidRPr="0090090F">
        <w:rPr>
          <w:rFonts w:asciiTheme="minorHAnsi" w:hAnsiTheme="minorHAnsi" w:cstheme="minorHAnsi"/>
        </w:rPr>
        <w:t>Introduction</w:t>
      </w:r>
    </w:p>
    <w:p w14:paraId="72438188" w14:textId="77777777" w:rsidR="004D1B1D" w:rsidRPr="004D1B1D" w:rsidRDefault="004D1B1D" w:rsidP="0090090F">
      <w:pPr>
        <w:spacing w:after="120" w:line="240" w:lineRule="auto"/>
        <w:ind w:left="0" w:right="0" w:firstLine="0"/>
        <w:rPr>
          <w:rFonts w:asciiTheme="minorHAnsi" w:eastAsia="Times New Roman" w:hAnsiTheme="minorHAnsi" w:cstheme="minorHAnsi"/>
          <w:color w:val="auto"/>
          <w:szCs w:val="24"/>
          <w:lang w:val="en-AU"/>
        </w:rPr>
      </w:pPr>
      <w:r w:rsidRPr="004D1B1D">
        <w:rPr>
          <w:rFonts w:asciiTheme="minorHAnsi" w:eastAsia="Times New Roman" w:hAnsiTheme="minorHAnsi" w:cstheme="minorHAnsi"/>
          <w:color w:val="auto"/>
          <w:szCs w:val="24"/>
          <w:lang w:val="en-AU"/>
        </w:rPr>
        <w:t xml:space="preserve">This tool is the third in a series of four, written by Dr Leanne Longfellow drawing on her experience in advocating for family members with disability, her research and 30-year teaching career. </w:t>
      </w:r>
    </w:p>
    <w:p w14:paraId="22CD2B6E" w14:textId="77777777" w:rsidR="004D1B1D" w:rsidRPr="004D1B1D" w:rsidRDefault="004D1B1D" w:rsidP="0090090F">
      <w:pPr>
        <w:spacing w:after="120" w:line="240" w:lineRule="auto"/>
        <w:ind w:left="0" w:right="0" w:firstLine="0"/>
        <w:rPr>
          <w:rFonts w:asciiTheme="minorHAnsi" w:eastAsia="Times New Roman" w:hAnsiTheme="minorHAnsi" w:cstheme="minorHAnsi"/>
          <w:color w:val="auto"/>
          <w:szCs w:val="24"/>
          <w:lang w:val="en-AU"/>
        </w:rPr>
      </w:pPr>
      <w:r w:rsidRPr="004D1B1D">
        <w:rPr>
          <w:rFonts w:asciiTheme="minorHAnsi" w:eastAsia="Times New Roman" w:hAnsiTheme="minorHAnsi" w:cstheme="minorHAnsi"/>
          <w:color w:val="auto"/>
          <w:szCs w:val="24"/>
          <w:lang w:val="en-AU"/>
        </w:rPr>
        <w:t xml:space="preserve">Schools need quality teaching and learning tools that are informed by evidence-based approaches and practices to facilitate positive academic and social outcomes for all students. This tool provides an overview of three approaches that can support school staff </w:t>
      </w:r>
      <w:r w:rsidRPr="004D1B1D">
        <w:rPr>
          <w:rFonts w:asciiTheme="minorHAnsi" w:eastAsia="Calibri" w:hAnsiTheme="minorHAnsi" w:cstheme="minorHAnsi"/>
          <w:color w:val="auto"/>
          <w:szCs w:val="24"/>
          <w:lang w:val="en-AU"/>
        </w:rPr>
        <w:t xml:space="preserve">(leaders, educators, teacher aides, office staff, and other site staff) </w:t>
      </w:r>
      <w:r w:rsidRPr="004D1B1D">
        <w:rPr>
          <w:rFonts w:asciiTheme="minorHAnsi" w:eastAsia="Times New Roman" w:hAnsiTheme="minorHAnsi" w:cstheme="minorHAnsi"/>
          <w:color w:val="auto"/>
          <w:szCs w:val="24"/>
          <w:lang w:val="en-AU"/>
        </w:rPr>
        <w:t xml:space="preserve">to apply the social model of disability and implement inclusive school policies and practices: </w:t>
      </w:r>
      <w:r w:rsidRPr="004D1B1D">
        <w:rPr>
          <w:rFonts w:asciiTheme="minorHAnsi" w:eastAsia="Calibri" w:hAnsiTheme="minorHAnsi" w:cstheme="minorHAnsi"/>
          <w:color w:val="auto"/>
          <w:szCs w:val="24"/>
          <w:lang w:val="en-AU"/>
        </w:rPr>
        <w:t>strengths-based approach</w:t>
      </w:r>
      <w:r w:rsidRPr="004D1B1D">
        <w:rPr>
          <w:rFonts w:asciiTheme="minorHAnsi" w:eastAsia="Calibri" w:hAnsiTheme="minorHAnsi" w:cstheme="minorHAnsi"/>
          <w:color w:val="auto"/>
          <w:szCs w:val="24"/>
          <w:vertAlign w:val="superscript"/>
          <w:lang w:val="en-AU"/>
        </w:rPr>
        <w:footnoteReference w:id="1"/>
      </w:r>
      <w:r w:rsidRPr="004D1B1D">
        <w:rPr>
          <w:rFonts w:asciiTheme="minorHAnsi" w:eastAsia="Calibri" w:hAnsiTheme="minorHAnsi" w:cstheme="minorHAnsi"/>
          <w:color w:val="auto"/>
          <w:szCs w:val="24"/>
          <w:lang w:val="en-AU"/>
        </w:rPr>
        <w:t>, growth mindset</w:t>
      </w:r>
      <w:r w:rsidRPr="004D1B1D">
        <w:rPr>
          <w:rFonts w:asciiTheme="minorHAnsi" w:eastAsia="Calibri" w:hAnsiTheme="minorHAnsi" w:cstheme="minorHAnsi"/>
          <w:color w:val="auto"/>
          <w:szCs w:val="24"/>
          <w:vertAlign w:val="superscript"/>
          <w:lang w:val="en-AU"/>
        </w:rPr>
        <w:footnoteReference w:id="2"/>
      </w:r>
      <w:r w:rsidRPr="004D1B1D">
        <w:rPr>
          <w:rFonts w:asciiTheme="minorHAnsi" w:eastAsia="Calibri" w:hAnsiTheme="minorHAnsi" w:cstheme="minorHAnsi"/>
          <w:color w:val="auto"/>
          <w:szCs w:val="24"/>
          <w:lang w:val="en-AU"/>
        </w:rPr>
        <w:t>,  and social capital</w:t>
      </w:r>
      <w:r w:rsidRPr="004D1B1D">
        <w:rPr>
          <w:rFonts w:asciiTheme="minorHAnsi" w:eastAsia="Calibri" w:hAnsiTheme="minorHAnsi" w:cstheme="minorHAnsi"/>
          <w:color w:val="auto"/>
          <w:szCs w:val="24"/>
          <w:vertAlign w:val="superscript"/>
          <w:lang w:val="en-AU"/>
        </w:rPr>
        <w:footnoteReference w:id="3"/>
      </w:r>
      <w:r w:rsidRPr="004D1B1D">
        <w:rPr>
          <w:rFonts w:asciiTheme="minorHAnsi" w:eastAsia="Calibri" w:hAnsiTheme="minorHAnsi" w:cstheme="minorHAnsi"/>
          <w:i/>
          <w:color w:val="auto"/>
          <w:szCs w:val="24"/>
          <w:lang w:val="en-AU"/>
        </w:rPr>
        <w:t>.</w:t>
      </w:r>
      <w:r w:rsidRPr="004D1B1D">
        <w:rPr>
          <w:rFonts w:asciiTheme="minorHAnsi" w:eastAsia="Calibri" w:hAnsiTheme="minorHAnsi" w:cstheme="minorHAnsi"/>
          <w:color w:val="auto"/>
          <w:szCs w:val="24"/>
          <w:lang w:val="en-AU"/>
        </w:rPr>
        <w:t xml:space="preserve"> </w:t>
      </w:r>
    </w:p>
    <w:p w14:paraId="45C8D8EA" w14:textId="5E8F296D" w:rsidR="00267E9E" w:rsidRPr="0090090F" w:rsidRDefault="00267E9E" w:rsidP="0090090F">
      <w:pPr>
        <w:spacing w:after="120" w:line="240" w:lineRule="auto"/>
        <w:ind w:left="0" w:right="0" w:firstLine="0"/>
        <w:rPr>
          <w:rFonts w:asciiTheme="minorHAnsi" w:hAnsiTheme="minorHAnsi" w:cstheme="minorHAnsi"/>
          <w:szCs w:val="24"/>
        </w:rPr>
      </w:pPr>
    </w:p>
    <w:p w14:paraId="4C300C1C" w14:textId="3F896EF1" w:rsidR="007A2C9C" w:rsidRPr="0090090F" w:rsidRDefault="007A2C9C" w:rsidP="0090090F">
      <w:pPr>
        <w:pStyle w:val="Heading2"/>
        <w:spacing w:before="0" w:after="120" w:line="240" w:lineRule="auto"/>
        <w:ind w:left="0"/>
        <w:rPr>
          <w:rFonts w:asciiTheme="minorHAnsi" w:hAnsiTheme="minorHAnsi" w:cstheme="minorHAnsi"/>
        </w:rPr>
      </w:pPr>
      <w:r w:rsidRPr="0090090F">
        <w:rPr>
          <w:rFonts w:asciiTheme="minorHAnsi" w:hAnsiTheme="minorHAnsi" w:cstheme="minorHAnsi"/>
        </w:rPr>
        <w:t xml:space="preserve">Ideas </w:t>
      </w:r>
    </w:p>
    <w:p w14:paraId="5FDAFC19" w14:textId="77777777" w:rsidR="004D1B1D" w:rsidRPr="004D1B1D" w:rsidRDefault="004D1B1D" w:rsidP="0090090F">
      <w:pPr>
        <w:spacing w:after="120" w:line="240" w:lineRule="auto"/>
        <w:ind w:left="0" w:right="0" w:firstLine="0"/>
        <w:rPr>
          <w:rFonts w:asciiTheme="minorHAnsi" w:eastAsia="Calibri" w:hAnsiTheme="minorHAnsi" w:cstheme="minorHAnsi"/>
          <w:color w:val="auto"/>
          <w:szCs w:val="24"/>
          <w:lang w:val="en-AU"/>
        </w:rPr>
      </w:pPr>
      <w:r w:rsidRPr="004D1B1D">
        <w:rPr>
          <w:rFonts w:asciiTheme="minorHAnsi" w:eastAsia="Calibri" w:hAnsiTheme="minorHAnsi" w:cstheme="minorHAnsi"/>
          <w:color w:val="auto"/>
          <w:szCs w:val="24"/>
          <w:lang w:val="en-AU"/>
        </w:rPr>
        <w:t>The key concepts of the social model of disability as outlined in the tool, ‘Exploring Disability and Inclusion Tool 2: The Models of Disability’ can be implemented through three pedagogical approaches</w:t>
      </w:r>
      <w:r w:rsidRPr="004D1B1D">
        <w:rPr>
          <w:rFonts w:asciiTheme="minorHAnsi" w:eastAsia="Times New Roman" w:hAnsiTheme="minorHAnsi" w:cstheme="minorHAnsi"/>
          <w:color w:val="auto"/>
          <w:szCs w:val="24"/>
          <w:lang w:val="en-AU"/>
        </w:rPr>
        <w:t xml:space="preserve">: </w:t>
      </w:r>
      <w:r w:rsidRPr="004D1B1D">
        <w:rPr>
          <w:rFonts w:asciiTheme="minorHAnsi" w:eastAsia="Calibri" w:hAnsiTheme="minorHAnsi" w:cstheme="minorHAnsi"/>
          <w:color w:val="auto"/>
          <w:szCs w:val="24"/>
          <w:lang w:val="en-AU"/>
        </w:rPr>
        <w:t>strengths-based approach, growth mindset, and social capital</w:t>
      </w:r>
      <w:r w:rsidRPr="004D1B1D">
        <w:rPr>
          <w:rFonts w:asciiTheme="minorHAnsi" w:eastAsia="Calibri" w:hAnsiTheme="minorHAnsi" w:cstheme="minorHAnsi"/>
          <w:i/>
          <w:color w:val="auto"/>
          <w:szCs w:val="24"/>
          <w:lang w:val="en-AU"/>
        </w:rPr>
        <w:t>.</w:t>
      </w:r>
      <w:r w:rsidRPr="004D1B1D">
        <w:rPr>
          <w:rFonts w:asciiTheme="minorHAnsi" w:eastAsia="Calibri" w:hAnsiTheme="minorHAnsi" w:cstheme="minorHAnsi"/>
          <w:color w:val="auto"/>
          <w:szCs w:val="24"/>
          <w:lang w:val="en-AU"/>
        </w:rPr>
        <w:t xml:space="preserve"> These approaches facilitate inclusion by recognising and valuing the identities, perspectives and strengths of students living with disability and are aligned with the Universal Design for Learning (UDL)</w:t>
      </w:r>
      <w:r w:rsidRPr="004D1B1D">
        <w:rPr>
          <w:rFonts w:asciiTheme="minorHAnsi" w:eastAsia="Calibri" w:hAnsiTheme="minorHAnsi" w:cstheme="minorHAnsi"/>
          <w:color w:val="auto"/>
          <w:szCs w:val="24"/>
          <w:vertAlign w:val="superscript"/>
          <w:lang w:val="en-AU"/>
        </w:rPr>
        <w:footnoteReference w:id="4"/>
      </w:r>
      <w:r w:rsidRPr="004D1B1D">
        <w:rPr>
          <w:rFonts w:asciiTheme="minorHAnsi" w:eastAsia="Calibri" w:hAnsiTheme="minorHAnsi" w:cstheme="minorHAnsi"/>
          <w:color w:val="auto"/>
          <w:szCs w:val="24"/>
          <w:lang w:val="en-AU"/>
        </w:rPr>
        <w:t xml:space="preserve"> and social justice curricula</w:t>
      </w:r>
      <w:r w:rsidRPr="004D1B1D">
        <w:rPr>
          <w:rFonts w:asciiTheme="minorHAnsi" w:eastAsia="Calibri" w:hAnsiTheme="minorHAnsi" w:cstheme="minorHAnsi"/>
          <w:color w:val="auto"/>
          <w:szCs w:val="24"/>
          <w:vertAlign w:val="superscript"/>
          <w:lang w:val="en-AU"/>
        </w:rPr>
        <w:footnoteReference w:id="5"/>
      </w:r>
      <w:r w:rsidRPr="004D1B1D">
        <w:rPr>
          <w:rFonts w:asciiTheme="minorHAnsi" w:eastAsia="Calibri" w:hAnsiTheme="minorHAnsi" w:cstheme="minorHAnsi"/>
          <w:color w:val="auto"/>
          <w:szCs w:val="24"/>
          <w:lang w:val="en-AU"/>
        </w:rPr>
        <w:t xml:space="preserve"> introduced in the tool, ‘Exploring Disability and Inclusion Tool 1: Unpacking Definitions and Concepts to Build School Inclusion’. Application of these three approaches also support educators to meet </w:t>
      </w:r>
      <w:r w:rsidRPr="004D1B1D">
        <w:rPr>
          <w:rFonts w:asciiTheme="minorHAnsi" w:eastAsia="Times New Roman" w:hAnsiTheme="minorHAnsi" w:cstheme="minorHAnsi"/>
          <w:color w:val="auto"/>
          <w:szCs w:val="24"/>
          <w:lang w:val="en-AU"/>
        </w:rPr>
        <w:lastRenderedPageBreak/>
        <w:t>the Australian Professional Standards for Teachers, Standard 1.6 ‘Strategies to support full participation for students with disability’</w:t>
      </w:r>
      <w:r w:rsidRPr="004D1B1D">
        <w:rPr>
          <w:rFonts w:asciiTheme="minorHAnsi" w:eastAsia="Times New Roman" w:hAnsiTheme="minorHAnsi" w:cstheme="minorHAnsi"/>
          <w:color w:val="auto"/>
          <w:szCs w:val="24"/>
          <w:vertAlign w:val="superscript"/>
          <w:lang w:val="en-AU"/>
        </w:rPr>
        <w:footnoteReference w:id="6"/>
      </w:r>
      <w:r w:rsidRPr="004D1B1D">
        <w:rPr>
          <w:rFonts w:asciiTheme="minorHAnsi" w:eastAsia="Times New Roman" w:hAnsiTheme="minorHAnsi" w:cstheme="minorHAnsi"/>
          <w:color w:val="auto"/>
          <w:szCs w:val="24"/>
          <w:lang w:val="en-AU"/>
        </w:rPr>
        <w:t>.</w:t>
      </w:r>
    </w:p>
    <w:p w14:paraId="74CC38ED" w14:textId="1E3491A8" w:rsidR="00BB63F3" w:rsidRPr="0090090F" w:rsidRDefault="004D1B1D" w:rsidP="0090090F">
      <w:pPr>
        <w:pStyle w:val="Heading2"/>
        <w:spacing w:before="0" w:after="120" w:line="240" w:lineRule="auto"/>
        <w:ind w:left="0"/>
        <w:rPr>
          <w:rFonts w:asciiTheme="minorHAnsi" w:hAnsiTheme="minorHAnsi" w:cstheme="minorHAnsi"/>
          <w:i/>
          <w:iCs/>
          <w:sz w:val="24"/>
          <w:szCs w:val="24"/>
        </w:rPr>
      </w:pPr>
      <w:bookmarkStart w:id="2" w:name="_Hlk26974171"/>
      <w:r w:rsidRPr="0090090F">
        <w:rPr>
          <w:rFonts w:asciiTheme="minorHAnsi" w:hAnsiTheme="minorHAnsi" w:cstheme="minorHAnsi"/>
          <w:i/>
          <w:iCs/>
          <w:sz w:val="24"/>
          <w:szCs w:val="24"/>
        </w:rPr>
        <w:t>Strengths-Based Approach</w:t>
      </w:r>
    </w:p>
    <w:p w14:paraId="1EBDF871" w14:textId="77777777" w:rsidR="004D1B1D" w:rsidRPr="004D1B1D" w:rsidRDefault="004D1B1D" w:rsidP="0090090F">
      <w:pPr>
        <w:spacing w:after="120" w:line="240" w:lineRule="auto"/>
        <w:ind w:left="0" w:right="0" w:firstLine="0"/>
        <w:rPr>
          <w:rFonts w:asciiTheme="minorHAnsi" w:eastAsia="Calibri" w:hAnsiTheme="minorHAnsi" w:cstheme="minorHAnsi"/>
          <w:color w:val="auto"/>
          <w:szCs w:val="24"/>
          <w:lang w:val="en-AU"/>
        </w:rPr>
      </w:pPr>
      <w:r w:rsidRPr="004D1B1D">
        <w:rPr>
          <w:rFonts w:asciiTheme="minorHAnsi" w:eastAsia="Calibri" w:hAnsiTheme="minorHAnsi" w:cstheme="minorHAnsi"/>
          <w:color w:val="auto"/>
          <w:szCs w:val="24"/>
          <w:lang w:val="en-AU"/>
        </w:rPr>
        <w:t xml:space="preserve">A strengths-based </w:t>
      </w:r>
      <w:bookmarkEnd w:id="2"/>
      <w:r w:rsidRPr="004D1B1D">
        <w:rPr>
          <w:rFonts w:asciiTheme="minorHAnsi" w:eastAsia="Calibri" w:hAnsiTheme="minorHAnsi" w:cstheme="minorHAnsi"/>
          <w:color w:val="auto"/>
          <w:szCs w:val="24"/>
          <w:lang w:val="en-AU"/>
        </w:rPr>
        <w:t>approach, also referred to as ‘funds of knowledge’</w:t>
      </w:r>
      <w:r w:rsidRPr="004D1B1D">
        <w:rPr>
          <w:rFonts w:asciiTheme="minorHAnsi" w:eastAsia="Calibri" w:hAnsiTheme="minorHAnsi" w:cstheme="minorHAnsi"/>
          <w:color w:val="auto"/>
          <w:szCs w:val="24"/>
          <w:vertAlign w:val="superscript"/>
          <w:lang w:val="en-AU"/>
        </w:rPr>
        <w:footnoteReference w:id="7"/>
      </w:r>
      <w:r w:rsidRPr="004D1B1D">
        <w:rPr>
          <w:rFonts w:asciiTheme="minorHAnsi" w:eastAsia="Calibri" w:hAnsiTheme="minorHAnsi" w:cstheme="minorHAnsi"/>
          <w:color w:val="auto"/>
          <w:szCs w:val="24"/>
          <w:lang w:val="en-AU"/>
        </w:rPr>
        <w:t xml:space="preserve">  and ‘turn-around pedagogies’</w:t>
      </w:r>
      <w:r w:rsidRPr="004D1B1D">
        <w:rPr>
          <w:rFonts w:asciiTheme="minorHAnsi" w:eastAsia="Calibri" w:hAnsiTheme="minorHAnsi" w:cstheme="minorHAnsi"/>
          <w:color w:val="auto"/>
          <w:szCs w:val="24"/>
          <w:vertAlign w:val="superscript"/>
          <w:lang w:val="en-AU"/>
        </w:rPr>
        <w:footnoteReference w:id="8"/>
      </w:r>
      <w:r w:rsidRPr="004D1B1D">
        <w:rPr>
          <w:rFonts w:asciiTheme="minorHAnsi" w:eastAsia="Calibri" w:hAnsiTheme="minorHAnsi" w:cstheme="minorHAnsi"/>
          <w:color w:val="auto"/>
          <w:szCs w:val="24"/>
          <w:lang w:val="en-AU"/>
        </w:rPr>
        <w:t xml:space="preserve">, focuses on what the student can do, rather than what they cannot do by acknowledging that every student has potential and capabilities. This approach empowers students by incorporating self-advocacy, positive relationships and language into the curricula. </w:t>
      </w:r>
    </w:p>
    <w:p w14:paraId="12701CEF" w14:textId="3D12B1E4" w:rsidR="004D1B1D" w:rsidRPr="0090090F" w:rsidRDefault="004D1B1D" w:rsidP="0090090F">
      <w:pPr>
        <w:pStyle w:val="Heading2"/>
        <w:spacing w:before="0" w:after="120" w:line="240" w:lineRule="auto"/>
        <w:ind w:left="0"/>
        <w:rPr>
          <w:rFonts w:asciiTheme="minorHAnsi" w:hAnsiTheme="minorHAnsi" w:cstheme="minorHAnsi"/>
          <w:i/>
          <w:iCs/>
          <w:sz w:val="24"/>
          <w:szCs w:val="24"/>
        </w:rPr>
      </w:pPr>
      <w:bookmarkStart w:id="4" w:name="_Hlk26974213"/>
      <w:r w:rsidRPr="0090090F">
        <w:rPr>
          <w:rFonts w:asciiTheme="minorHAnsi" w:hAnsiTheme="minorHAnsi" w:cstheme="minorHAnsi"/>
          <w:i/>
          <w:iCs/>
          <w:sz w:val="24"/>
          <w:szCs w:val="24"/>
        </w:rPr>
        <w:t>Growth Mindset</w:t>
      </w:r>
    </w:p>
    <w:p w14:paraId="481CE7DD" w14:textId="12F4093D" w:rsidR="004D1B1D" w:rsidRPr="0090090F" w:rsidRDefault="004D1B1D" w:rsidP="0090090F">
      <w:pPr>
        <w:spacing w:after="120" w:line="240" w:lineRule="auto"/>
        <w:ind w:left="0" w:right="0" w:firstLine="0"/>
        <w:rPr>
          <w:rFonts w:asciiTheme="minorHAnsi" w:eastAsia="Calibri" w:hAnsiTheme="minorHAnsi" w:cstheme="minorHAnsi"/>
          <w:color w:val="auto"/>
          <w:szCs w:val="24"/>
          <w:lang w:val="en-AU"/>
        </w:rPr>
      </w:pPr>
      <w:r w:rsidRPr="004D1B1D">
        <w:rPr>
          <w:rFonts w:asciiTheme="minorHAnsi" w:eastAsia="Calibri" w:hAnsiTheme="minorHAnsi" w:cstheme="minorHAnsi"/>
          <w:color w:val="auto"/>
          <w:szCs w:val="24"/>
          <w:lang w:val="en-AU"/>
        </w:rPr>
        <w:t xml:space="preserve">Growth </w:t>
      </w:r>
      <w:bookmarkEnd w:id="4"/>
      <w:r w:rsidRPr="004D1B1D">
        <w:rPr>
          <w:rFonts w:asciiTheme="minorHAnsi" w:eastAsia="Calibri" w:hAnsiTheme="minorHAnsi" w:cstheme="minorHAnsi"/>
          <w:color w:val="auto"/>
          <w:szCs w:val="24"/>
          <w:lang w:val="en-AU"/>
        </w:rPr>
        <w:t>mindset, where intelligence is viewed as something that can be developed through persistence and good teaching rather than something that is fixed, is aligned with a strength-based approach and facilitates positive beliefs about ability</w:t>
      </w:r>
      <w:r w:rsidRPr="004D1B1D">
        <w:rPr>
          <w:rFonts w:asciiTheme="minorHAnsi" w:eastAsia="Calibri" w:hAnsiTheme="minorHAnsi" w:cstheme="minorHAnsi"/>
          <w:color w:val="auto"/>
          <w:szCs w:val="24"/>
          <w:vertAlign w:val="superscript"/>
          <w:lang w:val="en-AU"/>
        </w:rPr>
        <w:footnoteReference w:id="9"/>
      </w:r>
      <w:r w:rsidRPr="004D1B1D">
        <w:rPr>
          <w:rFonts w:asciiTheme="minorHAnsi" w:eastAsia="Calibri" w:hAnsiTheme="minorHAnsi" w:cstheme="minorHAnsi"/>
          <w:color w:val="auto"/>
          <w:szCs w:val="24"/>
          <w:lang w:val="en-AU"/>
        </w:rPr>
        <w:t>. This approach also builds self-advocacy.</w:t>
      </w:r>
    </w:p>
    <w:p w14:paraId="74BBDB8D" w14:textId="09481794" w:rsidR="004D1B1D" w:rsidRPr="0090090F" w:rsidRDefault="004D1B1D" w:rsidP="0090090F">
      <w:pPr>
        <w:pStyle w:val="Heading2"/>
        <w:spacing w:before="0" w:after="120" w:line="240" w:lineRule="auto"/>
        <w:ind w:left="0"/>
        <w:rPr>
          <w:rFonts w:asciiTheme="minorHAnsi" w:hAnsiTheme="minorHAnsi" w:cstheme="minorHAnsi"/>
          <w:i/>
          <w:iCs/>
          <w:sz w:val="24"/>
          <w:szCs w:val="24"/>
        </w:rPr>
      </w:pPr>
      <w:r w:rsidRPr="0090090F">
        <w:rPr>
          <w:rFonts w:asciiTheme="minorHAnsi" w:hAnsiTheme="minorHAnsi" w:cstheme="minorHAnsi"/>
          <w:i/>
          <w:iCs/>
          <w:sz w:val="24"/>
          <w:szCs w:val="24"/>
        </w:rPr>
        <w:t>Social Capital</w:t>
      </w:r>
    </w:p>
    <w:p w14:paraId="68295CD4" w14:textId="658C5F55" w:rsidR="004D1B1D" w:rsidRPr="0090090F" w:rsidRDefault="004D1B1D" w:rsidP="0090090F">
      <w:pPr>
        <w:spacing w:after="120" w:line="240" w:lineRule="auto"/>
        <w:rPr>
          <w:rFonts w:asciiTheme="minorHAnsi" w:eastAsia="Times New Roman" w:hAnsiTheme="minorHAnsi" w:cstheme="minorHAnsi"/>
          <w:color w:val="auto"/>
          <w:szCs w:val="24"/>
          <w:lang w:val="en-AU"/>
        </w:rPr>
      </w:pPr>
      <w:r w:rsidRPr="0090090F">
        <w:rPr>
          <w:rFonts w:asciiTheme="minorHAnsi" w:eastAsia="Times New Roman" w:hAnsiTheme="minorHAnsi" w:cstheme="minorHAnsi"/>
          <w:color w:val="auto"/>
          <w:szCs w:val="24"/>
          <w:lang w:val="en-AU"/>
        </w:rPr>
        <w:t xml:space="preserve">Social capital is a term utilised by a theorist named </w:t>
      </w:r>
      <w:r w:rsidRPr="0090090F">
        <w:rPr>
          <w:rFonts w:asciiTheme="minorHAnsi" w:eastAsia="Times New Roman" w:hAnsiTheme="minorHAnsi" w:cstheme="minorHAnsi"/>
          <w:noProof/>
          <w:color w:val="auto"/>
          <w:szCs w:val="24"/>
        </w:rPr>
        <w:t>Bourdieu</w:t>
      </w:r>
      <w:r w:rsidRPr="0090090F">
        <w:rPr>
          <w:rFonts w:asciiTheme="minorHAnsi" w:eastAsia="Times New Roman" w:hAnsiTheme="minorHAnsi" w:cstheme="minorHAnsi"/>
          <w:color w:val="auto"/>
          <w:szCs w:val="24"/>
          <w:lang w:val="en-AU"/>
        </w:rPr>
        <w:t xml:space="preserve"> and refers to support networks, friendships and connections</w:t>
      </w:r>
      <w:r w:rsidRPr="0090090F">
        <w:rPr>
          <w:rFonts w:asciiTheme="minorHAnsi" w:eastAsia="Times New Roman" w:hAnsiTheme="minorHAnsi" w:cstheme="minorHAnsi"/>
          <w:color w:val="auto"/>
          <w:szCs w:val="24"/>
          <w:vertAlign w:val="superscript"/>
          <w:lang w:val="en-AU"/>
        </w:rPr>
        <w:footnoteReference w:id="10"/>
      </w:r>
      <w:r w:rsidRPr="0090090F">
        <w:rPr>
          <w:rFonts w:asciiTheme="minorHAnsi" w:eastAsia="Times New Roman" w:hAnsiTheme="minorHAnsi" w:cstheme="minorHAnsi"/>
          <w:color w:val="auto"/>
          <w:szCs w:val="24"/>
          <w:lang w:val="en-AU"/>
        </w:rPr>
        <w:t>. Within an educational context, social capital can be developed through the ‘circle of friends’ strategy, where peers support and include students living with disability alongside the guidance of an adult facilitator</w:t>
      </w:r>
      <w:r w:rsidRPr="0090090F">
        <w:rPr>
          <w:rFonts w:asciiTheme="minorHAnsi" w:eastAsia="Times New Roman" w:hAnsiTheme="minorHAnsi" w:cstheme="minorHAnsi"/>
          <w:color w:val="auto"/>
          <w:szCs w:val="24"/>
          <w:vertAlign w:val="superscript"/>
          <w:lang w:val="en-AU"/>
        </w:rPr>
        <w:footnoteReference w:id="11"/>
      </w:r>
      <w:r w:rsidRPr="0090090F">
        <w:rPr>
          <w:rFonts w:asciiTheme="minorHAnsi" w:eastAsia="Times New Roman" w:hAnsiTheme="minorHAnsi" w:cstheme="minorHAnsi"/>
          <w:color w:val="auto"/>
          <w:szCs w:val="24"/>
          <w:lang w:val="en-AU"/>
        </w:rPr>
        <w:t xml:space="preserve">. The tool, ‘Circles’ provides information about the circle of friends strategy in schools to building social capital in students living with disability. Social capital is also referred to in the </w:t>
      </w:r>
      <w:r w:rsidRPr="0090090F">
        <w:rPr>
          <w:rFonts w:asciiTheme="minorHAnsi" w:eastAsia="Calibri" w:hAnsiTheme="minorHAnsi" w:cstheme="minorHAnsi"/>
          <w:color w:val="auto"/>
          <w:szCs w:val="24"/>
          <w:lang w:val="en-AU"/>
        </w:rPr>
        <w:t>Model of Citizenhood Support 2</w:t>
      </w:r>
      <w:r w:rsidRPr="0090090F">
        <w:rPr>
          <w:rFonts w:asciiTheme="minorHAnsi" w:eastAsia="Calibri" w:hAnsiTheme="minorHAnsi" w:cstheme="minorHAnsi"/>
          <w:color w:val="auto"/>
          <w:szCs w:val="24"/>
          <w:vertAlign w:val="superscript"/>
          <w:lang w:val="en-AU"/>
        </w:rPr>
        <w:t>nd</w:t>
      </w:r>
      <w:r w:rsidRPr="0090090F">
        <w:rPr>
          <w:rFonts w:asciiTheme="minorHAnsi" w:eastAsia="Calibri" w:hAnsiTheme="minorHAnsi" w:cstheme="minorHAnsi"/>
          <w:color w:val="auto"/>
          <w:szCs w:val="24"/>
          <w:lang w:val="en-AU"/>
        </w:rPr>
        <w:t xml:space="preserve"> Edition (the Model)</w:t>
      </w:r>
      <w:r w:rsidRPr="0090090F">
        <w:rPr>
          <w:rFonts w:asciiTheme="minorHAnsi" w:eastAsia="Calibri" w:hAnsiTheme="minorHAnsi" w:cstheme="minorHAnsi"/>
          <w:color w:val="auto"/>
          <w:szCs w:val="24"/>
          <w:vertAlign w:val="superscript"/>
          <w:lang w:val="en-AU"/>
        </w:rPr>
        <w:footnoteReference w:id="12"/>
      </w:r>
      <w:r w:rsidRPr="0090090F">
        <w:rPr>
          <w:rFonts w:asciiTheme="minorHAnsi" w:eastAsia="Calibri" w:hAnsiTheme="minorHAnsi" w:cstheme="minorHAnsi"/>
          <w:color w:val="auto"/>
          <w:szCs w:val="24"/>
          <w:lang w:val="en-AU"/>
        </w:rPr>
        <w:t xml:space="preserve"> and explained in the tool, ‘Context of a Good Life – Personhood and Citizenhood’. </w:t>
      </w:r>
    </w:p>
    <w:p w14:paraId="37131E6F" w14:textId="15DB2A7A" w:rsidR="004D1B1D" w:rsidRPr="004D1B1D" w:rsidRDefault="004D1B1D" w:rsidP="0090090F">
      <w:pPr>
        <w:spacing w:after="120" w:line="240" w:lineRule="auto"/>
        <w:ind w:left="0" w:right="0" w:firstLine="0"/>
        <w:rPr>
          <w:rFonts w:asciiTheme="minorHAnsi" w:eastAsia="Calibri" w:hAnsiTheme="minorHAnsi" w:cstheme="minorHAnsi"/>
          <w:color w:val="auto"/>
          <w:szCs w:val="24"/>
          <w:lang w:val="en-AU"/>
        </w:rPr>
      </w:pPr>
    </w:p>
    <w:p w14:paraId="4B0C0CA0" w14:textId="7CE9F17A" w:rsidR="005C3C5D" w:rsidRPr="0090090F" w:rsidRDefault="00BB63F3" w:rsidP="0090090F">
      <w:pPr>
        <w:pStyle w:val="Heading2"/>
        <w:spacing w:before="0" w:after="120" w:line="240" w:lineRule="auto"/>
        <w:ind w:left="0"/>
        <w:rPr>
          <w:rFonts w:asciiTheme="minorHAnsi" w:hAnsiTheme="minorHAnsi" w:cstheme="minorHAnsi"/>
        </w:rPr>
      </w:pPr>
      <w:r w:rsidRPr="0090090F">
        <w:rPr>
          <w:rFonts w:asciiTheme="minorHAnsi" w:hAnsiTheme="minorHAnsi" w:cstheme="minorHAnsi"/>
        </w:rPr>
        <w:t>Actions</w:t>
      </w:r>
    </w:p>
    <w:p w14:paraId="4D1CF600" w14:textId="4B53A2E0" w:rsidR="004D1B1D" w:rsidRPr="0090090F" w:rsidRDefault="004D1B1D" w:rsidP="0090090F">
      <w:pPr>
        <w:spacing w:after="120" w:line="240" w:lineRule="auto"/>
        <w:rPr>
          <w:rFonts w:asciiTheme="minorHAnsi" w:eastAsia="Times New Roman" w:hAnsiTheme="minorHAnsi" w:cstheme="minorHAnsi"/>
          <w:color w:val="auto"/>
          <w:szCs w:val="24"/>
          <w:lang w:val="en-AU"/>
        </w:rPr>
      </w:pPr>
      <w:r w:rsidRPr="0090090F">
        <w:rPr>
          <w:rFonts w:asciiTheme="minorHAnsi" w:eastAsia="Times New Roman" w:hAnsiTheme="minorHAnsi" w:cstheme="minorHAnsi"/>
          <w:color w:val="auto"/>
          <w:szCs w:val="24"/>
          <w:lang w:val="en-AU"/>
        </w:rPr>
        <w:t xml:space="preserve">The above approaches focus on individual or small group change rather than macro-level structural constraints to inclusion. For example, a strengths-based approach teaches skills that empower the individual, growth mindset focuses on internal motivation of the individual, and ‘circle of friends’ centres on small group change rather than addressing systemic barriers to inclusion. No amount of individual empowerment or internal motivation can overcome policies, procedures and practices that exclude </w:t>
      </w:r>
      <w:r w:rsidRPr="0090090F">
        <w:rPr>
          <w:rFonts w:asciiTheme="minorHAnsi" w:eastAsia="Times New Roman" w:hAnsiTheme="minorHAnsi" w:cstheme="minorHAnsi"/>
          <w:color w:val="auto"/>
          <w:szCs w:val="24"/>
          <w:lang w:val="en-AU"/>
        </w:rPr>
        <w:lastRenderedPageBreak/>
        <w:t xml:space="preserve">students living with disability. Consequently, these approaches must be coupled with a social justice framework to facilitate self-reflection on the concepts of oppression, power and privilege. </w:t>
      </w:r>
    </w:p>
    <w:p w14:paraId="6B164E17" w14:textId="77777777" w:rsidR="004D1B1D" w:rsidRPr="004D1B1D" w:rsidRDefault="004D1B1D" w:rsidP="0090090F">
      <w:pPr>
        <w:spacing w:after="120" w:line="240" w:lineRule="auto"/>
        <w:ind w:left="0" w:right="0" w:firstLine="0"/>
        <w:rPr>
          <w:rFonts w:asciiTheme="minorHAnsi" w:eastAsia="Times New Roman" w:hAnsiTheme="minorHAnsi" w:cstheme="minorHAnsi"/>
          <w:color w:val="auto"/>
          <w:szCs w:val="24"/>
          <w:lang w:val="en-AU"/>
        </w:rPr>
      </w:pPr>
      <w:r w:rsidRPr="004D1B1D">
        <w:rPr>
          <w:rFonts w:asciiTheme="minorHAnsi" w:eastAsia="Times New Roman" w:hAnsiTheme="minorHAnsi" w:cstheme="minorHAnsi"/>
          <w:color w:val="auto"/>
          <w:szCs w:val="24"/>
          <w:lang w:val="en-AU"/>
        </w:rPr>
        <w:t>Strengths-based, growth mindset and social capital approaches support inclusive practice when combined with UDL and social justice pedagogy. School staff are encouraged to reflect on and discuss the above approaches. This may be started through an open discussion at a staff meeting using these example questions:</w:t>
      </w:r>
    </w:p>
    <w:p w14:paraId="51BEBE5E" w14:textId="77777777" w:rsidR="004D1B1D" w:rsidRPr="004D1B1D" w:rsidRDefault="004D1B1D" w:rsidP="0090090F">
      <w:pPr>
        <w:numPr>
          <w:ilvl w:val="0"/>
          <w:numId w:val="13"/>
        </w:numPr>
        <w:spacing w:after="120" w:line="240" w:lineRule="auto"/>
        <w:ind w:right="0"/>
        <w:contextualSpacing/>
        <w:rPr>
          <w:rFonts w:asciiTheme="minorHAnsi" w:eastAsia="Times New Roman" w:hAnsiTheme="minorHAnsi" w:cstheme="minorHAnsi"/>
          <w:color w:val="auto"/>
          <w:szCs w:val="24"/>
          <w:lang w:val="en-AU"/>
        </w:rPr>
      </w:pPr>
      <w:r w:rsidRPr="004D1B1D">
        <w:rPr>
          <w:rFonts w:asciiTheme="minorHAnsi" w:eastAsia="Times New Roman" w:hAnsiTheme="minorHAnsi" w:cstheme="minorHAnsi"/>
          <w:color w:val="auto"/>
          <w:szCs w:val="24"/>
          <w:lang w:val="en-AU"/>
        </w:rPr>
        <w:t xml:space="preserve">What are your three core beliefs about students and their capacity at school? </w:t>
      </w:r>
    </w:p>
    <w:p w14:paraId="1D99F949" w14:textId="77777777" w:rsidR="004D1B1D" w:rsidRPr="004D1B1D" w:rsidRDefault="004D1B1D" w:rsidP="0090090F">
      <w:pPr>
        <w:numPr>
          <w:ilvl w:val="0"/>
          <w:numId w:val="13"/>
        </w:numPr>
        <w:spacing w:after="120" w:line="240" w:lineRule="auto"/>
        <w:ind w:right="0"/>
        <w:contextualSpacing/>
        <w:rPr>
          <w:rFonts w:asciiTheme="minorHAnsi" w:eastAsia="Times New Roman" w:hAnsiTheme="minorHAnsi" w:cstheme="minorHAnsi"/>
          <w:color w:val="auto"/>
          <w:szCs w:val="24"/>
          <w:lang w:val="en-AU"/>
        </w:rPr>
      </w:pPr>
      <w:r w:rsidRPr="004D1B1D">
        <w:rPr>
          <w:rFonts w:asciiTheme="minorHAnsi" w:eastAsia="Times New Roman" w:hAnsiTheme="minorHAnsi" w:cstheme="minorHAnsi"/>
          <w:color w:val="auto"/>
          <w:szCs w:val="24"/>
          <w:lang w:val="en-AU"/>
        </w:rPr>
        <w:t>What do you know about?</w:t>
      </w:r>
    </w:p>
    <w:p w14:paraId="36FD36E4" w14:textId="77777777" w:rsidR="004D1B1D" w:rsidRPr="004D1B1D" w:rsidRDefault="004D1B1D" w:rsidP="0090090F">
      <w:pPr>
        <w:numPr>
          <w:ilvl w:val="0"/>
          <w:numId w:val="14"/>
        </w:numPr>
        <w:spacing w:after="120" w:line="240" w:lineRule="auto"/>
        <w:ind w:right="0"/>
        <w:contextualSpacing/>
        <w:rPr>
          <w:rFonts w:asciiTheme="minorHAnsi" w:eastAsia="Times New Roman" w:hAnsiTheme="minorHAnsi" w:cstheme="minorHAnsi"/>
          <w:color w:val="auto"/>
          <w:szCs w:val="24"/>
          <w:lang w:val="en-AU"/>
        </w:rPr>
      </w:pPr>
      <w:r w:rsidRPr="004D1B1D">
        <w:rPr>
          <w:rFonts w:asciiTheme="minorHAnsi" w:eastAsia="Times New Roman" w:hAnsiTheme="minorHAnsi" w:cstheme="minorHAnsi"/>
          <w:color w:val="auto"/>
          <w:szCs w:val="24"/>
          <w:lang w:val="en-AU"/>
        </w:rPr>
        <w:t>Strengths-based approach</w:t>
      </w:r>
    </w:p>
    <w:p w14:paraId="2B2FACB6" w14:textId="77777777" w:rsidR="004D1B1D" w:rsidRPr="004D1B1D" w:rsidRDefault="004D1B1D" w:rsidP="0090090F">
      <w:pPr>
        <w:numPr>
          <w:ilvl w:val="0"/>
          <w:numId w:val="14"/>
        </w:numPr>
        <w:spacing w:after="120" w:line="240" w:lineRule="auto"/>
        <w:ind w:right="0"/>
        <w:contextualSpacing/>
        <w:rPr>
          <w:rFonts w:asciiTheme="minorHAnsi" w:eastAsia="Times New Roman" w:hAnsiTheme="minorHAnsi" w:cstheme="minorHAnsi"/>
          <w:color w:val="auto"/>
          <w:szCs w:val="24"/>
          <w:lang w:val="en-AU"/>
        </w:rPr>
      </w:pPr>
      <w:r w:rsidRPr="004D1B1D">
        <w:rPr>
          <w:rFonts w:asciiTheme="minorHAnsi" w:eastAsia="Times New Roman" w:hAnsiTheme="minorHAnsi" w:cstheme="minorHAnsi"/>
          <w:color w:val="auto"/>
          <w:szCs w:val="24"/>
          <w:lang w:val="en-AU"/>
        </w:rPr>
        <w:t>Growth mindset</w:t>
      </w:r>
    </w:p>
    <w:p w14:paraId="5F017A76" w14:textId="77777777" w:rsidR="004D1B1D" w:rsidRPr="004D1B1D" w:rsidRDefault="004D1B1D" w:rsidP="0090090F">
      <w:pPr>
        <w:numPr>
          <w:ilvl w:val="0"/>
          <w:numId w:val="14"/>
        </w:numPr>
        <w:spacing w:after="120" w:line="240" w:lineRule="auto"/>
        <w:ind w:right="0"/>
        <w:contextualSpacing/>
        <w:rPr>
          <w:rFonts w:asciiTheme="minorHAnsi" w:eastAsia="Times New Roman" w:hAnsiTheme="minorHAnsi" w:cstheme="minorHAnsi"/>
          <w:color w:val="auto"/>
          <w:szCs w:val="24"/>
          <w:lang w:val="en-AU"/>
        </w:rPr>
      </w:pPr>
      <w:r w:rsidRPr="004D1B1D">
        <w:rPr>
          <w:rFonts w:asciiTheme="minorHAnsi" w:eastAsia="Times New Roman" w:hAnsiTheme="minorHAnsi" w:cstheme="minorHAnsi"/>
          <w:color w:val="auto"/>
          <w:szCs w:val="24"/>
          <w:lang w:val="en-AU"/>
        </w:rPr>
        <w:t>Social capital</w:t>
      </w:r>
    </w:p>
    <w:p w14:paraId="56C3F17C" w14:textId="77777777" w:rsidR="004D1B1D" w:rsidRPr="004D1B1D" w:rsidRDefault="004D1B1D" w:rsidP="0090090F">
      <w:pPr>
        <w:spacing w:after="120" w:line="240" w:lineRule="auto"/>
        <w:ind w:left="0" w:right="0" w:firstLine="0"/>
        <w:rPr>
          <w:rFonts w:asciiTheme="minorHAnsi" w:eastAsia="Calibri" w:hAnsiTheme="minorHAnsi" w:cstheme="minorHAnsi"/>
          <w:color w:val="auto"/>
          <w:szCs w:val="24"/>
          <w:lang w:val="en-AU"/>
        </w:rPr>
      </w:pPr>
      <w:r w:rsidRPr="004D1B1D">
        <w:rPr>
          <w:rFonts w:asciiTheme="minorHAnsi" w:eastAsia="Times New Roman" w:hAnsiTheme="minorHAnsi" w:cstheme="minorHAnsi"/>
          <w:color w:val="auto"/>
          <w:szCs w:val="24"/>
          <w:lang w:val="en-AU"/>
        </w:rPr>
        <w:t xml:space="preserve">In addition to starting the conversation about pedagogical approaches generally, all school staff require professional learning to understand strengths-based, growth mindset, and social capital approaches. </w:t>
      </w:r>
      <w:proofErr w:type="gramStart"/>
      <w:r w:rsidRPr="004D1B1D">
        <w:rPr>
          <w:rFonts w:asciiTheme="minorHAnsi" w:eastAsia="Times New Roman" w:hAnsiTheme="minorHAnsi" w:cstheme="minorHAnsi"/>
          <w:color w:val="auto"/>
          <w:szCs w:val="24"/>
          <w:lang w:val="en-AU"/>
        </w:rPr>
        <w:t>In particular, educators</w:t>
      </w:r>
      <w:proofErr w:type="gramEnd"/>
      <w:r w:rsidRPr="004D1B1D">
        <w:rPr>
          <w:rFonts w:asciiTheme="minorHAnsi" w:eastAsia="Times New Roman" w:hAnsiTheme="minorHAnsi" w:cstheme="minorHAnsi"/>
          <w:color w:val="auto"/>
          <w:szCs w:val="24"/>
          <w:lang w:val="en-AU"/>
        </w:rPr>
        <w:t xml:space="preserve"> need guidance from the school leaders to apply these pedagogies in their engagement and interaction with all students, including those living with disability. </w:t>
      </w:r>
    </w:p>
    <w:p w14:paraId="4AB74CCB" w14:textId="1ABFCE22" w:rsidR="004D1B1D" w:rsidRPr="0090090F" w:rsidRDefault="004D1B1D" w:rsidP="0090090F">
      <w:pPr>
        <w:spacing w:after="120" w:line="240" w:lineRule="auto"/>
        <w:ind w:left="0" w:right="0" w:firstLine="0"/>
        <w:rPr>
          <w:rFonts w:asciiTheme="minorHAnsi" w:eastAsia="Times New Roman" w:hAnsiTheme="minorHAnsi" w:cstheme="minorHAnsi"/>
          <w:color w:val="auto"/>
          <w:szCs w:val="24"/>
          <w:lang w:val="en-AU"/>
        </w:rPr>
      </w:pPr>
      <w:r w:rsidRPr="004D1B1D">
        <w:rPr>
          <w:rFonts w:asciiTheme="minorHAnsi" w:eastAsia="Times New Roman" w:hAnsiTheme="minorHAnsi" w:cstheme="minorHAnsi"/>
          <w:color w:val="auto"/>
          <w:szCs w:val="24"/>
          <w:lang w:val="en-AU"/>
        </w:rPr>
        <w:t xml:space="preserve">Schools should consider incorporating these approaches into their quality teaching and learning framework ensuring they are embedded into policies and practices. </w:t>
      </w:r>
    </w:p>
    <w:p w14:paraId="244B8CFB" w14:textId="748F3696" w:rsidR="007303B1" w:rsidRPr="0090090F" w:rsidRDefault="007303B1" w:rsidP="0090090F">
      <w:pPr>
        <w:spacing w:after="120" w:line="240" w:lineRule="auto"/>
        <w:ind w:left="0" w:right="0" w:firstLine="0"/>
        <w:rPr>
          <w:rFonts w:asciiTheme="minorHAnsi" w:eastAsia="Calibri" w:hAnsiTheme="minorHAnsi" w:cstheme="minorHAnsi"/>
          <w:color w:val="auto"/>
          <w:szCs w:val="24"/>
          <w:lang w:val="en-AU"/>
        </w:rPr>
      </w:pPr>
    </w:p>
    <w:p w14:paraId="21464708" w14:textId="453F567D" w:rsidR="0057393D" w:rsidRPr="0090090F" w:rsidRDefault="007303B1" w:rsidP="0090090F">
      <w:pPr>
        <w:pStyle w:val="Heading2"/>
        <w:spacing w:before="0" w:after="120" w:line="240" w:lineRule="auto"/>
        <w:ind w:left="0"/>
        <w:rPr>
          <w:rFonts w:asciiTheme="minorHAnsi" w:hAnsiTheme="minorHAnsi" w:cstheme="minorHAnsi"/>
        </w:rPr>
      </w:pPr>
      <w:bookmarkStart w:id="5" w:name="_Hlk26971751"/>
      <w:r w:rsidRPr="0090090F">
        <w:rPr>
          <w:rFonts w:asciiTheme="minorHAnsi" w:hAnsiTheme="minorHAnsi" w:cstheme="minorHAnsi"/>
        </w:rPr>
        <w:t>M</w:t>
      </w:r>
      <w:r w:rsidR="00BB63F3" w:rsidRPr="0090090F">
        <w:rPr>
          <w:rFonts w:asciiTheme="minorHAnsi" w:hAnsiTheme="minorHAnsi" w:cstheme="minorHAnsi"/>
        </w:rPr>
        <w:t xml:space="preserve">ore </w:t>
      </w:r>
      <w:r w:rsidRPr="0090090F">
        <w:rPr>
          <w:rFonts w:asciiTheme="minorHAnsi" w:hAnsiTheme="minorHAnsi" w:cstheme="minorHAnsi"/>
        </w:rPr>
        <w:t>I</w:t>
      </w:r>
      <w:r w:rsidR="00BB63F3" w:rsidRPr="0090090F">
        <w:rPr>
          <w:rFonts w:asciiTheme="minorHAnsi" w:hAnsiTheme="minorHAnsi" w:cstheme="minorHAnsi"/>
        </w:rPr>
        <w:t>nformation</w:t>
      </w:r>
    </w:p>
    <w:bookmarkEnd w:id="5"/>
    <w:p w14:paraId="13E1B539" w14:textId="77777777" w:rsidR="0090090F" w:rsidRPr="004719A6" w:rsidRDefault="0090090F" w:rsidP="0090090F">
      <w:pPr>
        <w:spacing w:after="120" w:line="240" w:lineRule="auto"/>
        <w:ind w:left="0" w:right="0" w:firstLine="0"/>
        <w:rPr>
          <w:rFonts w:asciiTheme="minorHAnsi" w:eastAsia="Calibri" w:hAnsiTheme="minorHAnsi" w:cstheme="minorHAnsi"/>
          <w:color w:val="auto"/>
          <w:szCs w:val="24"/>
        </w:rPr>
      </w:pPr>
      <w:r w:rsidRPr="004719A6">
        <w:rPr>
          <w:rFonts w:asciiTheme="minorHAnsi" w:eastAsia="Calibri" w:hAnsiTheme="minorHAnsi" w:cstheme="minorHAnsi"/>
          <w:color w:val="auto"/>
          <w:szCs w:val="24"/>
        </w:rPr>
        <w:t xml:space="preserve">Animated video explaining The Model of Citizenhood Support produced by JFA Purple Orange </w:t>
      </w:r>
      <w:hyperlink r:id="rId9" w:history="1">
        <w:r w:rsidRPr="004719A6">
          <w:rPr>
            <w:rStyle w:val="Hyperlink"/>
            <w:rFonts w:asciiTheme="minorHAnsi" w:eastAsia="Calibri" w:hAnsiTheme="minorHAnsi" w:cstheme="minorHAnsi"/>
            <w:color w:val="auto"/>
            <w:szCs w:val="24"/>
            <w:u w:val="none"/>
          </w:rPr>
          <w:t>https://vimeo.com/241128511</w:t>
        </w:r>
      </w:hyperlink>
      <w:r w:rsidRPr="004719A6">
        <w:rPr>
          <w:rFonts w:asciiTheme="minorHAnsi" w:eastAsia="Calibri" w:hAnsiTheme="minorHAnsi" w:cstheme="minorHAnsi"/>
          <w:color w:val="auto"/>
          <w:szCs w:val="24"/>
        </w:rPr>
        <w:t xml:space="preserve"> </w:t>
      </w:r>
    </w:p>
    <w:p w14:paraId="09964883" w14:textId="0346D99D" w:rsidR="0090090F" w:rsidRPr="004719A6" w:rsidRDefault="0090090F" w:rsidP="0090090F">
      <w:pPr>
        <w:spacing w:after="120" w:line="240" w:lineRule="auto"/>
        <w:ind w:left="0" w:right="0" w:firstLine="0"/>
        <w:rPr>
          <w:rFonts w:asciiTheme="minorHAnsi" w:eastAsia="Calibri" w:hAnsiTheme="minorHAnsi" w:cstheme="minorHAnsi"/>
          <w:color w:val="auto"/>
          <w:szCs w:val="24"/>
        </w:rPr>
      </w:pPr>
      <w:r w:rsidRPr="004719A6">
        <w:rPr>
          <w:rFonts w:asciiTheme="minorHAnsi" w:eastAsia="Calibri" w:hAnsiTheme="minorHAnsi" w:cstheme="minorHAnsi"/>
          <w:color w:val="auto"/>
          <w:szCs w:val="24"/>
        </w:rPr>
        <w:t>Dr. Carol S. Dweck’s updated edition of the book showing how success in school, work, sports, the arts, and almost every area of human endeavor can be dramatically influenced by how we think about our talents and abilities ‘Mindset: The New Psychology of Success’</w:t>
      </w:r>
    </w:p>
    <w:p w14:paraId="656875A6" w14:textId="77777777" w:rsidR="0090090F" w:rsidRPr="004719A6" w:rsidRDefault="0090090F" w:rsidP="0090090F">
      <w:pPr>
        <w:spacing w:after="120" w:line="240" w:lineRule="auto"/>
        <w:ind w:left="0" w:right="0" w:firstLine="0"/>
        <w:rPr>
          <w:rFonts w:asciiTheme="minorHAnsi" w:eastAsia="Calibri" w:hAnsiTheme="minorHAnsi" w:cstheme="minorHAnsi"/>
          <w:color w:val="auto"/>
          <w:szCs w:val="24"/>
        </w:rPr>
      </w:pPr>
      <w:r w:rsidRPr="004719A6">
        <w:rPr>
          <w:rFonts w:asciiTheme="minorHAnsi" w:eastAsia="Calibri" w:hAnsiTheme="minorHAnsi" w:cstheme="minorHAnsi"/>
          <w:color w:val="auto"/>
          <w:szCs w:val="24"/>
        </w:rPr>
        <w:t xml:space="preserve">Dr. Carol S. Dweck discusses her research into “self-conceptions (or mindsets) people use to structure the self and guide their behavior”, and how you can apply a Growth Mindset at home, at school and in your career </w:t>
      </w:r>
      <w:hyperlink r:id="rId10" w:history="1">
        <w:r w:rsidRPr="004719A6">
          <w:rPr>
            <w:rStyle w:val="Hyperlink"/>
            <w:rFonts w:asciiTheme="minorHAnsi" w:eastAsia="Calibri" w:hAnsiTheme="minorHAnsi" w:cstheme="minorHAnsi"/>
            <w:color w:val="auto"/>
            <w:szCs w:val="24"/>
            <w:u w:val="none"/>
          </w:rPr>
          <w:t>https://youtu.be/-71zdXCMU6A</w:t>
        </w:r>
      </w:hyperlink>
      <w:r w:rsidRPr="004719A6">
        <w:rPr>
          <w:rFonts w:asciiTheme="minorHAnsi" w:eastAsia="Calibri" w:hAnsiTheme="minorHAnsi" w:cstheme="minorHAnsi"/>
          <w:color w:val="auto"/>
          <w:szCs w:val="24"/>
        </w:rPr>
        <w:t xml:space="preserve"> </w:t>
      </w:r>
    </w:p>
    <w:p w14:paraId="04D3EB7F" w14:textId="589B1F35" w:rsidR="0090090F" w:rsidRPr="004719A6" w:rsidRDefault="005C4DED" w:rsidP="0090090F">
      <w:pPr>
        <w:spacing w:after="120" w:line="240" w:lineRule="auto"/>
        <w:ind w:left="0" w:right="0" w:firstLine="0"/>
        <w:rPr>
          <w:rFonts w:asciiTheme="minorHAnsi" w:eastAsia="Calibri" w:hAnsiTheme="minorHAnsi" w:cstheme="minorHAnsi"/>
          <w:color w:val="auto"/>
          <w:szCs w:val="24"/>
        </w:rPr>
      </w:pPr>
      <w:r w:rsidRPr="004719A6">
        <w:rPr>
          <w:rFonts w:asciiTheme="minorHAnsi" w:eastAsia="Calibri" w:hAnsiTheme="minorHAnsi" w:cstheme="minorHAnsi"/>
          <w:color w:val="auto"/>
          <w:szCs w:val="24"/>
        </w:rPr>
        <w:t xml:space="preserve">Video recording of Jackie Hayes and her daughter, Hannah Beard speaking at the 2018 Imagine More National Inclusion Conference. They share their story about how they have built an inclusive life for Hannah in school and out of school activities and relationships such as through the Circle of Support initiative </w:t>
      </w:r>
      <w:hyperlink r:id="rId11" w:history="1">
        <w:r w:rsidRPr="004719A6">
          <w:rPr>
            <w:rStyle w:val="Hyperlink"/>
            <w:rFonts w:asciiTheme="minorHAnsi" w:eastAsia="Calibri" w:hAnsiTheme="minorHAnsi" w:cstheme="minorHAnsi"/>
            <w:color w:val="auto"/>
            <w:szCs w:val="24"/>
            <w:u w:val="none"/>
          </w:rPr>
          <w:t>https://youtu.be/hkgC4ZxP0xA</w:t>
        </w:r>
      </w:hyperlink>
      <w:r w:rsidR="0090090F" w:rsidRPr="004719A6">
        <w:rPr>
          <w:rFonts w:asciiTheme="minorHAnsi" w:eastAsia="Calibri" w:hAnsiTheme="minorHAnsi" w:cstheme="minorHAnsi"/>
          <w:color w:val="auto"/>
          <w:szCs w:val="24"/>
        </w:rPr>
        <w:t xml:space="preserve"> </w:t>
      </w:r>
    </w:p>
    <w:p w14:paraId="38C0981D" w14:textId="7FE0F890" w:rsidR="004D1B1D" w:rsidRPr="004719A6" w:rsidRDefault="004D1B1D" w:rsidP="0090090F">
      <w:pPr>
        <w:spacing w:after="120" w:line="240" w:lineRule="auto"/>
        <w:ind w:left="0" w:right="0" w:firstLine="0"/>
        <w:rPr>
          <w:rFonts w:asciiTheme="minorHAnsi" w:eastAsia="Calibri" w:hAnsiTheme="minorHAnsi" w:cstheme="minorHAnsi"/>
          <w:color w:val="auto"/>
          <w:szCs w:val="24"/>
        </w:rPr>
      </w:pPr>
      <w:r w:rsidRPr="004719A6">
        <w:rPr>
          <w:rFonts w:asciiTheme="minorHAnsi" w:eastAsia="Calibri" w:hAnsiTheme="minorHAnsi" w:cstheme="minorHAnsi"/>
          <w:color w:val="auto"/>
          <w:szCs w:val="24"/>
        </w:rPr>
        <w:t xml:space="preserve">Video with prominent people from the disability community talking about the social model of disability and why it’s important to them </w:t>
      </w:r>
      <w:hyperlink r:id="rId12" w:history="1">
        <w:r w:rsidRPr="004719A6">
          <w:rPr>
            <w:rFonts w:asciiTheme="minorHAnsi" w:eastAsia="Calibri" w:hAnsiTheme="minorHAnsi" w:cstheme="minorHAnsi"/>
            <w:color w:val="auto"/>
            <w:szCs w:val="24"/>
          </w:rPr>
          <w:t>https://youtu.be/0e24rfTZ2CQ</w:t>
        </w:r>
      </w:hyperlink>
      <w:r w:rsidRPr="004719A6">
        <w:rPr>
          <w:rFonts w:asciiTheme="minorHAnsi" w:eastAsia="Calibri" w:hAnsiTheme="minorHAnsi" w:cstheme="minorHAnsi"/>
          <w:color w:val="auto"/>
          <w:szCs w:val="24"/>
        </w:rPr>
        <w:t xml:space="preserve"> </w:t>
      </w:r>
    </w:p>
    <w:p w14:paraId="5F2B2DB3" w14:textId="77777777" w:rsidR="0051346E" w:rsidRPr="0090090F" w:rsidRDefault="0051346E" w:rsidP="0090090F">
      <w:pPr>
        <w:spacing w:after="120" w:line="240" w:lineRule="auto"/>
        <w:ind w:left="0" w:right="0" w:firstLine="0"/>
        <w:rPr>
          <w:rFonts w:asciiTheme="minorHAnsi" w:eastAsia="Times New Roman" w:hAnsiTheme="minorHAnsi" w:cstheme="minorHAnsi"/>
          <w:color w:val="auto"/>
          <w:szCs w:val="24"/>
          <w:lang w:val="en-AU"/>
        </w:rPr>
      </w:pPr>
    </w:p>
    <w:p w14:paraId="282E1ACD" w14:textId="77777777" w:rsidR="00A33B12" w:rsidRDefault="00A33B12" w:rsidP="0090090F">
      <w:pPr>
        <w:pStyle w:val="Heading2"/>
        <w:spacing w:before="0" w:after="120" w:line="240" w:lineRule="auto"/>
        <w:ind w:left="0"/>
        <w:rPr>
          <w:rFonts w:asciiTheme="minorHAnsi" w:hAnsiTheme="minorHAnsi" w:cstheme="minorHAnsi"/>
        </w:rPr>
      </w:pPr>
      <w:r>
        <w:rPr>
          <w:rFonts w:asciiTheme="minorHAnsi" w:hAnsiTheme="minorHAnsi" w:cstheme="minorHAnsi"/>
        </w:rPr>
        <w:br w:type="page"/>
      </w:r>
    </w:p>
    <w:p w14:paraId="64BE939E" w14:textId="6956209D" w:rsidR="0051346E" w:rsidRPr="0090090F" w:rsidRDefault="0051346E" w:rsidP="0090090F">
      <w:pPr>
        <w:pStyle w:val="Heading2"/>
        <w:spacing w:before="0" w:after="120" w:line="240" w:lineRule="auto"/>
        <w:ind w:left="0"/>
        <w:rPr>
          <w:rFonts w:asciiTheme="minorHAnsi" w:hAnsiTheme="minorHAnsi" w:cstheme="minorHAnsi"/>
        </w:rPr>
      </w:pPr>
      <w:r w:rsidRPr="0090090F">
        <w:rPr>
          <w:rFonts w:asciiTheme="minorHAnsi" w:hAnsiTheme="minorHAnsi" w:cstheme="minorHAnsi"/>
        </w:rPr>
        <w:lastRenderedPageBreak/>
        <w:t xml:space="preserve">Acknowledgement </w:t>
      </w:r>
    </w:p>
    <w:p w14:paraId="16A5A5BB" w14:textId="7CF18888" w:rsidR="0051346E" w:rsidRPr="004719A6" w:rsidRDefault="0092468D" w:rsidP="0090090F">
      <w:pPr>
        <w:spacing w:after="120" w:line="240" w:lineRule="auto"/>
        <w:ind w:left="0" w:right="0" w:firstLine="0"/>
        <w:rPr>
          <w:rFonts w:asciiTheme="minorHAnsi" w:eastAsia="Calibri" w:hAnsiTheme="minorHAnsi" w:cstheme="minorHAnsi"/>
          <w:color w:val="auto"/>
          <w:szCs w:val="24"/>
          <w:lang w:val="en-AU"/>
        </w:rPr>
      </w:pPr>
      <w:r w:rsidRPr="004719A6">
        <w:rPr>
          <w:rFonts w:asciiTheme="minorHAnsi" w:eastAsia="Calibri" w:hAnsiTheme="minorHAnsi" w:cstheme="minorHAnsi"/>
          <w:noProof/>
          <w:color w:val="auto"/>
          <w:szCs w:val="24"/>
          <w:lang w:val="en-AU"/>
        </w:rPr>
        <w:drawing>
          <wp:anchor distT="0" distB="0" distL="114300" distR="114300" simplePos="0" relativeHeight="251659264" behindDoc="1" locked="0" layoutInCell="1" allowOverlap="1" wp14:anchorId="5907ABB2" wp14:editId="53D370EE">
            <wp:simplePos x="0" y="0"/>
            <wp:positionH relativeFrom="margin">
              <wp:align>left</wp:align>
            </wp:positionH>
            <wp:positionV relativeFrom="paragraph">
              <wp:posOffset>12065</wp:posOffset>
            </wp:positionV>
            <wp:extent cx="1439545" cy="662305"/>
            <wp:effectExtent l="0" t="0" r="8255" b="4445"/>
            <wp:wrapTight wrapText="bothSides">
              <wp:wrapPolygon edited="0">
                <wp:start x="0" y="0"/>
                <wp:lineTo x="0" y="21124"/>
                <wp:lineTo x="21438" y="21124"/>
                <wp:lineTo x="214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EP logo cop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9545" cy="662305"/>
                    </a:xfrm>
                    <a:prstGeom prst="rect">
                      <a:avLst/>
                    </a:prstGeom>
                  </pic:spPr>
                </pic:pic>
              </a:graphicData>
            </a:graphic>
            <wp14:sizeRelH relativeFrom="page">
              <wp14:pctWidth>0</wp14:pctWidth>
            </wp14:sizeRelH>
            <wp14:sizeRelV relativeFrom="page">
              <wp14:pctHeight>0</wp14:pctHeight>
            </wp14:sizeRelV>
          </wp:anchor>
        </w:drawing>
      </w:r>
      <w:r w:rsidR="00BE1124" w:rsidRPr="004719A6">
        <w:rPr>
          <w:rFonts w:asciiTheme="minorHAnsi" w:eastAsia="Calibri" w:hAnsiTheme="minorHAnsi" w:cstheme="minorHAnsi"/>
          <w:color w:val="auto"/>
          <w:szCs w:val="24"/>
          <w:lang w:val="en-AU"/>
        </w:rPr>
        <w:t>This tool was written by</w:t>
      </w:r>
      <w:r w:rsidR="0051346E" w:rsidRPr="004719A6">
        <w:rPr>
          <w:rFonts w:asciiTheme="minorHAnsi" w:eastAsia="Calibri" w:hAnsiTheme="minorHAnsi" w:cstheme="minorHAnsi"/>
          <w:color w:val="auto"/>
          <w:szCs w:val="24"/>
          <w:lang w:val="en-AU"/>
        </w:rPr>
        <w:t xml:space="preserve"> Dr</w:t>
      </w:r>
      <w:r w:rsidR="00BE1124" w:rsidRPr="004719A6">
        <w:rPr>
          <w:rFonts w:asciiTheme="minorHAnsi" w:eastAsia="Calibri" w:hAnsiTheme="minorHAnsi" w:cstheme="minorHAnsi"/>
          <w:color w:val="auto"/>
          <w:szCs w:val="24"/>
          <w:lang w:val="en-AU"/>
        </w:rPr>
        <w:t xml:space="preserve"> Leanne Longfellow</w:t>
      </w:r>
      <w:r w:rsidR="0051346E" w:rsidRPr="004719A6">
        <w:rPr>
          <w:rFonts w:asciiTheme="minorHAnsi" w:eastAsia="Calibri" w:hAnsiTheme="minorHAnsi" w:cstheme="minorHAnsi"/>
          <w:color w:val="auto"/>
          <w:szCs w:val="24"/>
          <w:lang w:val="en-AU"/>
        </w:rPr>
        <w:t>, Director of Inclusive Education Planning</w:t>
      </w:r>
      <w:r w:rsidR="00BE1124" w:rsidRPr="004719A6">
        <w:rPr>
          <w:rFonts w:asciiTheme="minorHAnsi" w:eastAsia="Calibri" w:hAnsiTheme="minorHAnsi" w:cstheme="minorHAnsi"/>
          <w:color w:val="auto"/>
          <w:szCs w:val="24"/>
          <w:lang w:val="en-AU"/>
        </w:rPr>
        <w:t xml:space="preserve"> with editing by JFA Purple Orange.</w:t>
      </w:r>
    </w:p>
    <w:p w14:paraId="52E3EBE4" w14:textId="0BC6F64E" w:rsidR="00BE1124" w:rsidRPr="004719A6" w:rsidRDefault="00BE1124" w:rsidP="0090090F">
      <w:pPr>
        <w:spacing w:after="120" w:line="240" w:lineRule="auto"/>
        <w:ind w:left="0" w:right="0" w:firstLine="0"/>
        <w:rPr>
          <w:rStyle w:val="Hyperlink"/>
          <w:rFonts w:asciiTheme="minorHAnsi" w:eastAsia="Calibri" w:hAnsiTheme="minorHAnsi" w:cstheme="minorHAnsi"/>
          <w:color w:val="auto"/>
          <w:szCs w:val="24"/>
          <w:u w:val="none"/>
          <w:lang w:val="en-AU"/>
        </w:rPr>
      </w:pPr>
      <w:r w:rsidRPr="004719A6">
        <w:rPr>
          <w:rFonts w:asciiTheme="minorHAnsi" w:eastAsia="Calibri" w:hAnsiTheme="minorHAnsi" w:cstheme="minorHAnsi"/>
          <w:color w:val="auto"/>
          <w:szCs w:val="24"/>
          <w:lang w:val="en-AU"/>
        </w:rPr>
        <w:t xml:space="preserve">Leanne presents researched based professional learning to support teachers, assistants, other professionals and parents on inclusive practice </w:t>
      </w:r>
      <w:hyperlink r:id="rId14" w:history="1">
        <w:r w:rsidRPr="004719A6">
          <w:rPr>
            <w:rStyle w:val="Hyperlink"/>
            <w:rFonts w:asciiTheme="minorHAnsi" w:eastAsia="Calibri" w:hAnsiTheme="minorHAnsi" w:cstheme="minorHAnsi"/>
            <w:color w:val="auto"/>
            <w:szCs w:val="24"/>
            <w:u w:val="none"/>
            <w:lang w:val="en-AU"/>
          </w:rPr>
          <w:t>https://inclusiveeducationplanning.com.au/</w:t>
        </w:r>
      </w:hyperlink>
    </w:p>
    <w:p w14:paraId="6AE3BAEA" w14:textId="3D86A622"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71A03B64" w14:textId="2B1371C0"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23FFA77F" w14:textId="21C97753"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48F369DE" w14:textId="3D3144C3"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bookmarkStart w:id="6" w:name="_GoBack"/>
      <w:bookmarkEnd w:id="6"/>
    </w:p>
    <w:p w14:paraId="2627C1E3" w14:textId="5E45DB28"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38F5887D" w14:textId="3E820006"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1C47AD24" w14:textId="04C9F215"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5258C55A" w14:textId="3297F09A"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09F614CC" w14:textId="40888936"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5104B1CF" w14:textId="3C264032"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22798A85" w14:textId="2BC3C751"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10C22E58" w14:textId="04789720"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214A6019" w14:textId="3D555EC6"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0F21948B" w14:textId="164C5E55"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0ACBA173" w14:textId="40FD5F97"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53490124" w14:textId="32BDA163"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2FE52E9A" w14:textId="0639A968"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6D24BDFD" w14:textId="3599907E"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5F48F5BB" w14:textId="5B07415E" w:rsidR="00A33B12" w:rsidRDefault="00A33B12" w:rsidP="00A33B12">
      <w:pPr>
        <w:spacing w:after="120" w:line="240" w:lineRule="auto"/>
        <w:ind w:left="0" w:right="0" w:firstLine="0"/>
        <w:jc w:val="right"/>
        <w:rPr>
          <w:rStyle w:val="Hyperlink"/>
          <w:rFonts w:asciiTheme="minorHAnsi" w:eastAsia="Calibri" w:hAnsiTheme="minorHAnsi" w:cstheme="minorHAnsi"/>
          <w:szCs w:val="24"/>
          <w:lang w:val="en-AU"/>
        </w:rPr>
      </w:pPr>
    </w:p>
    <w:p w14:paraId="0693CC13" w14:textId="6F08A275"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394D4D21" w14:textId="6594B0BF"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144D6D5A" w14:textId="7968C0A0"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42B2BD66" w14:textId="5E18D4E2"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6178B77A" w14:textId="6F23BBCD" w:rsidR="00A33B12" w:rsidRDefault="00A33B12" w:rsidP="0090090F">
      <w:pPr>
        <w:spacing w:after="120" w:line="240" w:lineRule="auto"/>
        <w:ind w:left="0" w:right="0" w:firstLine="0"/>
        <w:rPr>
          <w:rStyle w:val="Hyperlink"/>
          <w:rFonts w:asciiTheme="minorHAnsi" w:eastAsia="Calibri" w:hAnsiTheme="minorHAnsi" w:cstheme="minorHAnsi"/>
          <w:szCs w:val="24"/>
          <w:lang w:val="en-AU"/>
        </w:rPr>
      </w:pPr>
    </w:p>
    <w:p w14:paraId="0E615835" w14:textId="19BE1499" w:rsidR="00A33B12" w:rsidRDefault="00A33B12" w:rsidP="00A33B12">
      <w:pPr>
        <w:spacing w:after="120" w:line="240" w:lineRule="auto"/>
        <w:ind w:left="0" w:right="0" w:firstLine="0"/>
        <w:jc w:val="right"/>
        <w:rPr>
          <w:rStyle w:val="Hyperlink"/>
          <w:rFonts w:asciiTheme="minorHAnsi" w:eastAsia="Calibri" w:hAnsiTheme="minorHAnsi" w:cstheme="minorHAnsi"/>
          <w:szCs w:val="24"/>
          <w:lang w:val="en-AU"/>
        </w:rPr>
      </w:pPr>
      <w:r w:rsidRPr="00966CD0">
        <w:rPr>
          <w:rStyle w:val="Hyperlink"/>
          <w:rFonts w:asciiTheme="minorHAnsi" w:eastAsia="Calibri" w:hAnsiTheme="minorHAnsi" w:cstheme="minorHAnsi"/>
          <w:noProof/>
          <w:szCs w:val="24"/>
          <w:u w:val="none"/>
          <w:lang w:val="en-AU"/>
        </w:rPr>
        <w:drawing>
          <wp:inline distT="0" distB="0" distL="0" distR="0" wp14:anchorId="431F256E" wp14:editId="1CEBB651">
            <wp:extent cx="2182495" cy="829310"/>
            <wp:effectExtent l="0" t="0" r="825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82495" cy="829310"/>
                    </a:xfrm>
                    <a:prstGeom prst="rect">
                      <a:avLst/>
                    </a:prstGeom>
                    <a:noFill/>
                  </pic:spPr>
                </pic:pic>
              </a:graphicData>
            </a:graphic>
          </wp:inline>
        </w:drawing>
      </w:r>
    </w:p>
    <w:p w14:paraId="257EBAB3" w14:textId="7358C357" w:rsidR="00BE1124" w:rsidRPr="00BE1124" w:rsidRDefault="00BE1124" w:rsidP="00BE1124">
      <w:pPr>
        <w:spacing w:after="120" w:line="240" w:lineRule="auto"/>
        <w:ind w:left="0" w:right="0" w:firstLine="0"/>
        <w:rPr>
          <w:rFonts w:ascii="Calibri" w:eastAsia="Calibri" w:hAnsi="Calibri" w:cs="Calibri"/>
          <w:color w:val="auto"/>
          <w:szCs w:val="24"/>
          <w:lang w:val="en-AU"/>
        </w:rPr>
      </w:pPr>
    </w:p>
    <w:sectPr w:rsidR="00BE1124" w:rsidRPr="00BE1124" w:rsidSect="007303B1">
      <w:headerReference w:type="default" r:id="rId16"/>
      <w:footerReference w:type="default" r:id="rId17"/>
      <w:footerReference w:type="first" r:id="rId18"/>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3407D987" w14:textId="77777777" w:rsidR="004D1B1D" w:rsidRPr="004719A6" w:rsidRDefault="004D1B1D" w:rsidP="004D1B1D">
      <w:pPr>
        <w:pStyle w:val="FootnoteText"/>
        <w:rPr>
          <w:rFonts w:asciiTheme="minorHAnsi" w:hAnsiTheme="minorHAnsi" w:cstheme="minorHAnsi"/>
          <w:color w:val="auto"/>
          <w:sz w:val="18"/>
          <w:szCs w:val="18"/>
        </w:rPr>
      </w:pPr>
      <w:r w:rsidRPr="004719A6">
        <w:rPr>
          <w:rStyle w:val="FootnoteReference"/>
          <w:rFonts w:asciiTheme="minorHAnsi" w:hAnsiTheme="minorHAnsi" w:cstheme="minorHAnsi"/>
          <w:color w:val="auto"/>
          <w:sz w:val="18"/>
          <w:szCs w:val="18"/>
        </w:rPr>
        <w:footnoteRef/>
      </w:r>
      <w:r w:rsidRPr="004719A6">
        <w:rPr>
          <w:rFonts w:asciiTheme="minorHAnsi" w:hAnsiTheme="minorHAnsi" w:cstheme="minorHAnsi"/>
          <w:color w:val="auto"/>
          <w:sz w:val="18"/>
          <w:szCs w:val="18"/>
        </w:rPr>
        <w:t xml:space="preserve"> Comber, B. &amp; </w:t>
      </w:r>
      <w:proofErr w:type="spellStart"/>
      <w:r w:rsidRPr="004719A6">
        <w:rPr>
          <w:rFonts w:asciiTheme="minorHAnsi" w:hAnsiTheme="minorHAnsi" w:cstheme="minorHAnsi"/>
          <w:color w:val="auto"/>
          <w:sz w:val="18"/>
          <w:szCs w:val="18"/>
        </w:rPr>
        <w:t>Kamler</w:t>
      </w:r>
      <w:proofErr w:type="spellEnd"/>
      <w:r w:rsidRPr="004719A6">
        <w:rPr>
          <w:rFonts w:asciiTheme="minorHAnsi" w:hAnsiTheme="minorHAnsi" w:cstheme="minorHAnsi"/>
          <w:color w:val="auto"/>
          <w:sz w:val="18"/>
          <w:szCs w:val="18"/>
        </w:rPr>
        <w:t xml:space="preserve">, B. (2004). Getting out of Deficit: Pedagogies of Reconnection. </w:t>
      </w:r>
      <w:r w:rsidRPr="004719A6">
        <w:rPr>
          <w:rFonts w:asciiTheme="minorHAnsi" w:hAnsiTheme="minorHAnsi" w:cstheme="minorHAnsi"/>
          <w:i/>
          <w:iCs/>
          <w:color w:val="auto"/>
          <w:sz w:val="18"/>
          <w:szCs w:val="18"/>
        </w:rPr>
        <w:t>Teaching education, 15</w:t>
      </w:r>
      <w:r w:rsidRPr="004719A6">
        <w:rPr>
          <w:rFonts w:asciiTheme="minorHAnsi" w:hAnsiTheme="minorHAnsi" w:cstheme="minorHAnsi"/>
          <w:color w:val="auto"/>
          <w:sz w:val="18"/>
          <w:szCs w:val="18"/>
        </w:rPr>
        <w:t xml:space="preserve">(3), 293-310. </w:t>
      </w:r>
      <w:hyperlink r:id="rId1" w:history="1">
        <w:r w:rsidRPr="004719A6">
          <w:rPr>
            <w:rStyle w:val="Hyperlink"/>
            <w:rFonts w:asciiTheme="minorHAnsi" w:hAnsiTheme="minorHAnsi" w:cstheme="minorHAnsi"/>
            <w:color w:val="auto"/>
            <w:sz w:val="18"/>
            <w:szCs w:val="18"/>
            <w:u w:val="none"/>
          </w:rPr>
          <w:t>https://doi.org/10.1080/1047621042000257225</w:t>
        </w:r>
      </w:hyperlink>
      <w:r w:rsidRPr="004719A6">
        <w:rPr>
          <w:rFonts w:asciiTheme="minorHAnsi" w:hAnsiTheme="minorHAnsi" w:cstheme="minorHAnsi"/>
          <w:color w:val="auto"/>
          <w:sz w:val="18"/>
          <w:szCs w:val="18"/>
        </w:rPr>
        <w:t xml:space="preserve">; Moll, L., </w:t>
      </w:r>
      <w:proofErr w:type="spellStart"/>
      <w:r w:rsidRPr="004719A6">
        <w:rPr>
          <w:rFonts w:asciiTheme="minorHAnsi" w:hAnsiTheme="minorHAnsi" w:cstheme="minorHAnsi"/>
          <w:color w:val="auto"/>
          <w:sz w:val="18"/>
          <w:szCs w:val="18"/>
        </w:rPr>
        <w:t>Amanti</w:t>
      </w:r>
      <w:proofErr w:type="spellEnd"/>
      <w:r w:rsidRPr="004719A6">
        <w:rPr>
          <w:rFonts w:asciiTheme="minorHAnsi" w:hAnsiTheme="minorHAnsi" w:cstheme="minorHAnsi"/>
          <w:color w:val="auto"/>
          <w:sz w:val="18"/>
          <w:szCs w:val="18"/>
        </w:rPr>
        <w:t xml:space="preserve">, C., Neff, D. &amp; Gonzalez, N. (2005). Funds of knowledge for teaching: Using a qualitative approach to connect homes and classrooms. In N. Gonzalez, Moll, L., &amp; </w:t>
      </w:r>
      <w:proofErr w:type="spellStart"/>
      <w:r w:rsidRPr="004719A6">
        <w:rPr>
          <w:rFonts w:asciiTheme="minorHAnsi" w:hAnsiTheme="minorHAnsi" w:cstheme="minorHAnsi"/>
          <w:color w:val="auto"/>
          <w:sz w:val="18"/>
          <w:szCs w:val="18"/>
        </w:rPr>
        <w:t>Amanti</w:t>
      </w:r>
      <w:proofErr w:type="spellEnd"/>
      <w:r w:rsidRPr="004719A6">
        <w:rPr>
          <w:rFonts w:asciiTheme="minorHAnsi" w:hAnsiTheme="minorHAnsi" w:cstheme="minorHAnsi"/>
          <w:color w:val="auto"/>
          <w:sz w:val="18"/>
          <w:szCs w:val="18"/>
        </w:rPr>
        <w:t xml:space="preserve">, C. (Eds.), </w:t>
      </w:r>
      <w:r w:rsidRPr="004719A6">
        <w:rPr>
          <w:rFonts w:asciiTheme="minorHAnsi" w:hAnsiTheme="minorHAnsi" w:cstheme="minorHAnsi"/>
          <w:i/>
          <w:iCs/>
          <w:color w:val="auto"/>
          <w:sz w:val="18"/>
          <w:szCs w:val="18"/>
        </w:rPr>
        <w:t>Funds of knowledge: Theorizing practices in households, communities and classrooms.</w:t>
      </w:r>
      <w:r w:rsidRPr="004719A6">
        <w:rPr>
          <w:rFonts w:asciiTheme="minorHAnsi" w:hAnsiTheme="minorHAnsi" w:cstheme="minorHAnsi"/>
          <w:color w:val="auto"/>
          <w:sz w:val="18"/>
          <w:szCs w:val="18"/>
        </w:rPr>
        <w:t xml:space="preserve"> New York: Routledge.</w:t>
      </w:r>
    </w:p>
  </w:footnote>
  <w:footnote w:id="2">
    <w:p w14:paraId="2C30DD38" w14:textId="77777777" w:rsidR="004D1B1D" w:rsidRPr="004719A6" w:rsidRDefault="004D1B1D" w:rsidP="004D1B1D">
      <w:pPr>
        <w:pStyle w:val="FootnoteText"/>
        <w:rPr>
          <w:rFonts w:asciiTheme="minorHAnsi" w:hAnsiTheme="minorHAnsi" w:cstheme="minorHAnsi"/>
          <w:color w:val="auto"/>
          <w:sz w:val="18"/>
          <w:szCs w:val="18"/>
        </w:rPr>
      </w:pPr>
      <w:r w:rsidRPr="004719A6">
        <w:rPr>
          <w:rStyle w:val="FootnoteReference"/>
          <w:rFonts w:asciiTheme="minorHAnsi" w:hAnsiTheme="minorHAnsi" w:cstheme="minorHAnsi"/>
          <w:color w:val="auto"/>
          <w:sz w:val="18"/>
          <w:szCs w:val="18"/>
        </w:rPr>
        <w:footnoteRef/>
      </w:r>
      <w:r w:rsidRPr="004719A6">
        <w:rPr>
          <w:rFonts w:asciiTheme="minorHAnsi" w:hAnsiTheme="minorHAnsi" w:cstheme="minorHAnsi"/>
          <w:color w:val="auto"/>
          <w:sz w:val="18"/>
          <w:szCs w:val="18"/>
        </w:rPr>
        <w:t xml:space="preserve"> Dweck, C. S. (2006). </w:t>
      </w:r>
      <w:r w:rsidRPr="004719A6">
        <w:rPr>
          <w:rFonts w:asciiTheme="minorHAnsi" w:hAnsiTheme="minorHAnsi" w:cstheme="minorHAnsi"/>
          <w:i/>
          <w:iCs/>
          <w:color w:val="auto"/>
          <w:sz w:val="18"/>
          <w:szCs w:val="18"/>
        </w:rPr>
        <w:t>Mindset: The new psychology of success.</w:t>
      </w:r>
      <w:r w:rsidRPr="004719A6">
        <w:rPr>
          <w:rFonts w:asciiTheme="minorHAnsi" w:hAnsiTheme="minorHAnsi" w:cstheme="minorHAnsi"/>
          <w:color w:val="auto"/>
          <w:sz w:val="18"/>
          <w:szCs w:val="18"/>
        </w:rPr>
        <w:t xml:space="preserve"> New York: Random House.</w:t>
      </w:r>
    </w:p>
  </w:footnote>
  <w:footnote w:id="3">
    <w:p w14:paraId="69A38AA1" w14:textId="77777777" w:rsidR="004D1B1D" w:rsidRPr="004719A6" w:rsidRDefault="004D1B1D" w:rsidP="004D1B1D">
      <w:pPr>
        <w:pStyle w:val="FootnoteText"/>
        <w:rPr>
          <w:rFonts w:asciiTheme="minorHAnsi" w:hAnsiTheme="minorHAnsi" w:cstheme="minorHAnsi"/>
          <w:color w:val="auto"/>
          <w:sz w:val="18"/>
          <w:szCs w:val="18"/>
        </w:rPr>
      </w:pPr>
      <w:r w:rsidRPr="004719A6">
        <w:rPr>
          <w:rStyle w:val="FootnoteReference"/>
          <w:rFonts w:asciiTheme="minorHAnsi" w:hAnsiTheme="minorHAnsi" w:cstheme="minorHAnsi"/>
          <w:color w:val="auto"/>
          <w:sz w:val="18"/>
          <w:szCs w:val="18"/>
        </w:rPr>
        <w:footnoteRef/>
      </w:r>
      <w:r w:rsidRPr="004719A6">
        <w:rPr>
          <w:rFonts w:asciiTheme="minorHAnsi" w:hAnsiTheme="minorHAnsi" w:cstheme="minorHAnsi"/>
          <w:color w:val="auto"/>
          <w:sz w:val="18"/>
          <w:szCs w:val="18"/>
        </w:rPr>
        <w:t xml:space="preserve"> Bourdieu, P. (1997). The forms of capital. In A. H. Halsey, H. Lauder, P. Brown &amp; A. S. Wells (Eds). </w:t>
      </w:r>
      <w:r w:rsidRPr="004719A6">
        <w:rPr>
          <w:rFonts w:asciiTheme="minorHAnsi" w:hAnsiTheme="minorHAnsi" w:cstheme="minorHAnsi"/>
          <w:i/>
          <w:iCs/>
          <w:color w:val="auto"/>
          <w:sz w:val="18"/>
          <w:szCs w:val="18"/>
        </w:rPr>
        <w:t xml:space="preserve">Education: Culture, economy and society. </w:t>
      </w:r>
      <w:r w:rsidRPr="004719A6">
        <w:rPr>
          <w:rFonts w:asciiTheme="minorHAnsi" w:hAnsiTheme="minorHAnsi" w:cstheme="minorHAnsi"/>
          <w:color w:val="auto"/>
          <w:sz w:val="18"/>
          <w:szCs w:val="18"/>
        </w:rPr>
        <w:t>Oxford, England: Oxford University Press.</w:t>
      </w:r>
    </w:p>
  </w:footnote>
  <w:footnote w:id="4">
    <w:p w14:paraId="6F062BA9" w14:textId="77777777" w:rsidR="004D1B1D" w:rsidRPr="004719A6" w:rsidRDefault="004D1B1D" w:rsidP="004D1B1D">
      <w:pPr>
        <w:pStyle w:val="FootnoteText"/>
        <w:rPr>
          <w:rFonts w:asciiTheme="minorHAnsi" w:hAnsiTheme="minorHAnsi" w:cstheme="minorHAnsi"/>
          <w:color w:val="auto"/>
          <w:sz w:val="18"/>
          <w:szCs w:val="18"/>
        </w:rPr>
      </w:pPr>
      <w:r w:rsidRPr="004719A6">
        <w:rPr>
          <w:rStyle w:val="FootnoteReference"/>
          <w:rFonts w:asciiTheme="minorHAnsi" w:hAnsiTheme="minorHAnsi" w:cstheme="minorHAnsi"/>
          <w:color w:val="auto"/>
          <w:sz w:val="18"/>
          <w:szCs w:val="18"/>
        </w:rPr>
        <w:footnoteRef/>
      </w:r>
      <w:r w:rsidRPr="004719A6">
        <w:rPr>
          <w:rFonts w:asciiTheme="minorHAnsi" w:hAnsiTheme="minorHAnsi" w:cstheme="minorHAnsi"/>
          <w:color w:val="auto"/>
          <w:sz w:val="18"/>
          <w:szCs w:val="18"/>
        </w:rPr>
        <w:t xml:space="preserve"> Center for Applied Special Technology (2019). Universal design for learning. Retrieved from </w:t>
      </w:r>
      <w:hyperlink r:id="rId2" w:history="1">
        <w:r w:rsidRPr="004719A6">
          <w:rPr>
            <w:rStyle w:val="Hyperlink"/>
            <w:rFonts w:asciiTheme="minorHAnsi" w:hAnsiTheme="minorHAnsi" w:cstheme="minorHAnsi"/>
            <w:color w:val="auto"/>
            <w:sz w:val="18"/>
            <w:szCs w:val="18"/>
            <w:u w:val="none"/>
          </w:rPr>
          <w:t>http://www.cast.org</w:t>
        </w:r>
      </w:hyperlink>
      <w:r w:rsidRPr="004719A6">
        <w:rPr>
          <w:rFonts w:asciiTheme="minorHAnsi" w:hAnsiTheme="minorHAnsi" w:cstheme="minorHAnsi"/>
          <w:color w:val="auto"/>
          <w:sz w:val="18"/>
          <w:szCs w:val="18"/>
        </w:rPr>
        <w:t xml:space="preserve"> </w:t>
      </w:r>
    </w:p>
  </w:footnote>
  <w:footnote w:id="5">
    <w:p w14:paraId="5AC5F7C4" w14:textId="77777777" w:rsidR="004D1B1D" w:rsidRDefault="004D1B1D" w:rsidP="004D1B1D">
      <w:pPr>
        <w:pStyle w:val="FootnoteText"/>
      </w:pPr>
      <w:r w:rsidRPr="004719A6">
        <w:rPr>
          <w:rStyle w:val="FootnoteReference"/>
          <w:rFonts w:asciiTheme="minorHAnsi" w:hAnsiTheme="minorHAnsi" w:cstheme="minorHAnsi"/>
          <w:color w:val="auto"/>
          <w:sz w:val="18"/>
          <w:szCs w:val="18"/>
        </w:rPr>
        <w:footnoteRef/>
      </w:r>
      <w:r w:rsidRPr="004719A6">
        <w:rPr>
          <w:rFonts w:asciiTheme="minorHAnsi" w:hAnsiTheme="minorHAnsi" w:cstheme="minorHAnsi"/>
          <w:color w:val="auto"/>
          <w:sz w:val="18"/>
          <w:szCs w:val="18"/>
        </w:rPr>
        <w:t xml:space="preserve"> </w:t>
      </w:r>
      <w:proofErr w:type="spellStart"/>
      <w:r w:rsidRPr="004719A6">
        <w:rPr>
          <w:rFonts w:asciiTheme="minorHAnsi" w:hAnsiTheme="minorHAnsi" w:cstheme="minorHAnsi"/>
          <w:color w:val="auto"/>
          <w:sz w:val="18"/>
          <w:szCs w:val="18"/>
        </w:rPr>
        <w:t>Derman</w:t>
      </w:r>
      <w:proofErr w:type="spellEnd"/>
      <w:r w:rsidRPr="004719A6">
        <w:rPr>
          <w:rFonts w:asciiTheme="minorHAnsi" w:hAnsiTheme="minorHAnsi" w:cstheme="minorHAnsi"/>
          <w:color w:val="auto"/>
          <w:sz w:val="18"/>
          <w:szCs w:val="18"/>
        </w:rPr>
        <w:t xml:space="preserve">-Sparks, L. &amp; Edwards, J. O. (2010). </w:t>
      </w:r>
      <w:r w:rsidRPr="004719A6">
        <w:rPr>
          <w:rFonts w:asciiTheme="minorHAnsi" w:hAnsiTheme="minorHAnsi" w:cstheme="minorHAnsi"/>
          <w:i/>
          <w:iCs/>
          <w:color w:val="auto"/>
          <w:sz w:val="18"/>
          <w:szCs w:val="18"/>
        </w:rPr>
        <w:t>Anti-bias education for young children and ourselves.</w:t>
      </w:r>
      <w:r w:rsidRPr="004719A6">
        <w:rPr>
          <w:rFonts w:asciiTheme="minorHAnsi" w:hAnsiTheme="minorHAnsi" w:cstheme="minorHAnsi"/>
          <w:color w:val="auto"/>
          <w:sz w:val="18"/>
          <w:szCs w:val="18"/>
        </w:rPr>
        <w:t xml:space="preserve"> Washington DC: National Association for the Education of Young Children.</w:t>
      </w:r>
    </w:p>
  </w:footnote>
  <w:footnote w:id="6">
    <w:p w14:paraId="77BF0054" w14:textId="77777777" w:rsidR="004D1B1D" w:rsidRPr="004719A6" w:rsidRDefault="004D1B1D" w:rsidP="004D1B1D">
      <w:pPr>
        <w:pStyle w:val="FootnoteText"/>
        <w:rPr>
          <w:rFonts w:asciiTheme="minorHAnsi" w:hAnsiTheme="minorHAnsi" w:cstheme="minorHAnsi"/>
          <w:color w:val="auto"/>
          <w:sz w:val="18"/>
          <w:szCs w:val="18"/>
        </w:rPr>
      </w:pPr>
      <w:r w:rsidRPr="004719A6">
        <w:rPr>
          <w:rStyle w:val="FootnoteReference"/>
          <w:rFonts w:asciiTheme="minorHAnsi" w:hAnsiTheme="minorHAnsi" w:cstheme="minorHAnsi"/>
          <w:color w:val="auto"/>
          <w:sz w:val="18"/>
          <w:szCs w:val="18"/>
        </w:rPr>
        <w:footnoteRef/>
      </w:r>
      <w:r w:rsidRPr="004719A6">
        <w:rPr>
          <w:rFonts w:asciiTheme="minorHAnsi" w:hAnsiTheme="minorHAnsi" w:cstheme="minorHAnsi"/>
          <w:color w:val="auto"/>
          <w:sz w:val="18"/>
          <w:szCs w:val="18"/>
        </w:rPr>
        <w:t xml:space="preserve"> Australian Institute for Teaching and School Leadership (2011). Australian professional standards for teachers. Retrieved from </w:t>
      </w:r>
      <w:hyperlink r:id="rId3" w:history="1">
        <w:r w:rsidRPr="004719A6">
          <w:rPr>
            <w:rStyle w:val="Hyperlink"/>
            <w:rFonts w:asciiTheme="minorHAnsi" w:hAnsiTheme="minorHAnsi" w:cstheme="minorHAnsi"/>
            <w:color w:val="auto"/>
            <w:sz w:val="18"/>
            <w:szCs w:val="18"/>
            <w:u w:val="none"/>
          </w:rPr>
          <w:t>https://www.aitsl.edu.au/docs/default-source/apst-resources/australian_professional_standard_for_teachers_final.pdf</w:t>
        </w:r>
      </w:hyperlink>
      <w:r w:rsidRPr="004719A6">
        <w:rPr>
          <w:rFonts w:asciiTheme="minorHAnsi" w:hAnsiTheme="minorHAnsi" w:cstheme="minorHAnsi"/>
          <w:color w:val="auto"/>
          <w:sz w:val="18"/>
          <w:szCs w:val="18"/>
        </w:rPr>
        <w:t xml:space="preserve"> </w:t>
      </w:r>
    </w:p>
  </w:footnote>
  <w:footnote w:id="7">
    <w:p w14:paraId="78F0DB6B" w14:textId="77777777" w:rsidR="004D1B1D" w:rsidRPr="004719A6" w:rsidRDefault="004D1B1D" w:rsidP="004D1B1D">
      <w:pPr>
        <w:pStyle w:val="FootnoteText"/>
        <w:rPr>
          <w:rFonts w:asciiTheme="minorHAnsi" w:hAnsiTheme="minorHAnsi" w:cstheme="minorHAnsi"/>
          <w:color w:val="auto"/>
          <w:sz w:val="18"/>
          <w:szCs w:val="18"/>
        </w:rPr>
      </w:pPr>
      <w:r w:rsidRPr="004719A6">
        <w:rPr>
          <w:rStyle w:val="FootnoteReference"/>
          <w:rFonts w:asciiTheme="minorHAnsi" w:hAnsiTheme="minorHAnsi" w:cstheme="minorHAnsi"/>
          <w:color w:val="auto"/>
          <w:sz w:val="18"/>
          <w:szCs w:val="18"/>
        </w:rPr>
        <w:footnoteRef/>
      </w:r>
      <w:r w:rsidRPr="004719A6">
        <w:rPr>
          <w:rFonts w:asciiTheme="minorHAnsi" w:hAnsiTheme="minorHAnsi" w:cstheme="minorHAnsi"/>
          <w:color w:val="auto"/>
          <w:sz w:val="18"/>
          <w:szCs w:val="18"/>
        </w:rPr>
        <w:t xml:space="preserve"> </w:t>
      </w:r>
      <w:bookmarkStart w:id="3" w:name="_Hlk24972037"/>
      <w:r w:rsidRPr="004719A6">
        <w:rPr>
          <w:rFonts w:asciiTheme="minorHAnsi" w:hAnsiTheme="minorHAnsi" w:cstheme="minorHAnsi"/>
          <w:color w:val="auto"/>
          <w:sz w:val="18"/>
          <w:szCs w:val="18"/>
        </w:rPr>
        <w:t xml:space="preserve">Moll, L., </w:t>
      </w:r>
      <w:proofErr w:type="spellStart"/>
      <w:r w:rsidRPr="004719A6">
        <w:rPr>
          <w:rFonts w:asciiTheme="minorHAnsi" w:hAnsiTheme="minorHAnsi" w:cstheme="minorHAnsi"/>
          <w:color w:val="auto"/>
          <w:sz w:val="18"/>
          <w:szCs w:val="18"/>
        </w:rPr>
        <w:t>Amanti</w:t>
      </w:r>
      <w:proofErr w:type="spellEnd"/>
      <w:r w:rsidRPr="004719A6">
        <w:rPr>
          <w:rFonts w:asciiTheme="minorHAnsi" w:hAnsiTheme="minorHAnsi" w:cstheme="minorHAnsi"/>
          <w:color w:val="auto"/>
          <w:sz w:val="18"/>
          <w:szCs w:val="18"/>
        </w:rPr>
        <w:t xml:space="preserve">, C., Neff, D. &amp; Gonzalez, N. (2005). Funds of knowledge for teaching: Using a qualitative approach to connect homes and classrooms. In N. Gonzalez, Moll, L., &amp; </w:t>
      </w:r>
      <w:proofErr w:type="spellStart"/>
      <w:r w:rsidRPr="004719A6">
        <w:rPr>
          <w:rFonts w:asciiTheme="minorHAnsi" w:hAnsiTheme="minorHAnsi" w:cstheme="minorHAnsi"/>
          <w:color w:val="auto"/>
          <w:sz w:val="18"/>
          <w:szCs w:val="18"/>
        </w:rPr>
        <w:t>Amanti</w:t>
      </w:r>
      <w:proofErr w:type="spellEnd"/>
      <w:r w:rsidRPr="004719A6">
        <w:rPr>
          <w:rFonts w:asciiTheme="minorHAnsi" w:hAnsiTheme="minorHAnsi" w:cstheme="minorHAnsi"/>
          <w:color w:val="auto"/>
          <w:sz w:val="18"/>
          <w:szCs w:val="18"/>
        </w:rPr>
        <w:t xml:space="preserve">, C. (Eds.), </w:t>
      </w:r>
      <w:r w:rsidRPr="004719A6">
        <w:rPr>
          <w:rFonts w:asciiTheme="minorHAnsi" w:hAnsiTheme="minorHAnsi" w:cstheme="minorHAnsi"/>
          <w:i/>
          <w:iCs/>
          <w:color w:val="auto"/>
          <w:sz w:val="18"/>
          <w:szCs w:val="18"/>
        </w:rPr>
        <w:t>Funds of knowledge: Theorizing practices in households, communities and classrooms.</w:t>
      </w:r>
      <w:r w:rsidRPr="004719A6">
        <w:rPr>
          <w:rFonts w:asciiTheme="minorHAnsi" w:hAnsiTheme="minorHAnsi" w:cstheme="minorHAnsi"/>
          <w:color w:val="auto"/>
          <w:sz w:val="18"/>
          <w:szCs w:val="18"/>
        </w:rPr>
        <w:t xml:space="preserve"> New York: Routledge.</w:t>
      </w:r>
      <w:bookmarkEnd w:id="3"/>
    </w:p>
  </w:footnote>
  <w:footnote w:id="8">
    <w:p w14:paraId="4B1E85F1" w14:textId="77777777" w:rsidR="004D1B1D" w:rsidRPr="004719A6" w:rsidRDefault="004D1B1D" w:rsidP="004D1B1D">
      <w:pPr>
        <w:pStyle w:val="FootnoteText"/>
        <w:rPr>
          <w:rFonts w:asciiTheme="minorHAnsi" w:hAnsiTheme="minorHAnsi" w:cstheme="minorHAnsi"/>
          <w:color w:val="auto"/>
          <w:sz w:val="18"/>
          <w:szCs w:val="18"/>
        </w:rPr>
      </w:pPr>
      <w:r w:rsidRPr="004719A6">
        <w:rPr>
          <w:rStyle w:val="FootnoteReference"/>
          <w:rFonts w:asciiTheme="minorHAnsi" w:hAnsiTheme="minorHAnsi" w:cstheme="minorHAnsi"/>
          <w:color w:val="auto"/>
          <w:sz w:val="18"/>
          <w:szCs w:val="18"/>
        </w:rPr>
        <w:footnoteRef/>
      </w:r>
      <w:r w:rsidRPr="004719A6">
        <w:rPr>
          <w:rFonts w:asciiTheme="minorHAnsi" w:hAnsiTheme="minorHAnsi" w:cstheme="minorHAnsi"/>
          <w:color w:val="auto"/>
          <w:sz w:val="18"/>
          <w:szCs w:val="18"/>
        </w:rPr>
        <w:t xml:space="preserve"> Comber, B. &amp; </w:t>
      </w:r>
      <w:proofErr w:type="spellStart"/>
      <w:r w:rsidRPr="004719A6">
        <w:rPr>
          <w:rFonts w:asciiTheme="minorHAnsi" w:hAnsiTheme="minorHAnsi" w:cstheme="minorHAnsi"/>
          <w:color w:val="auto"/>
          <w:sz w:val="18"/>
          <w:szCs w:val="18"/>
        </w:rPr>
        <w:t>Kamler</w:t>
      </w:r>
      <w:proofErr w:type="spellEnd"/>
      <w:r w:rsidRPr="004719A6">
        <w:rPr>
          <w:rFonts w:asciiTheme="minorHAnsi" w:hAnsiTheme="minorHAnsi" w:cstheme="minorHAnsi"/>
          <w:color w:val="auto"/>
          <w:sz w:val="18"/>
          <w:szCs w:val="18"/>
        </w:rPr>
        <w:t xml:space="preserve">, B. (2004). Getting out of Deficit: Pedagogies of Reconnection. </w:t>
      </w:r>
      <w:r w:rsidRPr="004719A6">
        <w:rPr>
          <w:rFonts w:asciiTheme="minorHAnsi" w:hAnsiTheme="minorHAnsi" w:cstheme="minorHAnsi"/>
          <w:i/>
          <w:iCs/>
          <w:color w:val="auto"/>
          <w:sz w:val="18"/>
          <w:szCs w:val="18"/>
        </w:rPr>
        <w:t>Teaching education, 15</w:t>
      </w:r>
      <w:r w:rsidRPr="004719A6">
        <w:rPr>
          <w:rFonts w:asciiTheme="minorHAnsi" w:hAnsiTheme="minorHAnsi" w:cstheme="minorHAnsi"/>
          <w:color w:val="auto"/>
          <w:sz w:val="18"/>
          <w:szCs w:val="18"/>
        </w:rPr>
        <w:t>(3), 293-310. https://doi.org/10.1080/1047621042000257225</w:t>
      </w:r>
    </w:p>
  </w:footnote>
  <w:footnote w:id="9">
    <w:p w14:paraId="17F7EE37" w14:textId="77777777" w:rsidR="004D1B1D" w:rsidRPr="004719A6" w:rsidRDefault="004D1B1D" w:rsidP="004D1B1D">
      <w:pPr>
        <w:pStyle w:val="FootnoteText"/>
        <w:rPr>
          <w:rFonts w:asciiTheme="minorHAnsi" w:hAnsiTheme="minorHAnsi" w:cstheme="minorHAnsi"/>
          <w:color w:val="auto"/>
          <w:sz w:val="18"/>
          <w:szCs w:val="18"/>
        </w:rPr>
      </w:pPr>
      <w:r w:rsidRPr="004719A6">
        <w:rPr>
          <w:rStyle w:val="FootnoteReference"/>
          <w:rFonts w:asciiTheme="minorHAnsi" w:hAnsiTheme="minorHAnsi" w:cstheme="minorHAnsi"/>
          <w:color w:val="auto"/>
          <w:sz w:val="18"/>
          <w:szCs w:val="18"/>
        </w:rPr>
        <w:footnoteRef/>
      </w:r>
      <w:r w:rsidRPr="004719A6">
        <w:rPr>
          <w:rFonts w:asciiTheme="minorHAnsi" w:hAnsiTheme="minorHAnsi" w:cstheme="minorHAnsi"/>
          <w:color w:val="auto"/>
          <w:sz w:val="18"/>
          <w:szCs w:val="18"/>
        </w:rPr>
        <w:t xml:space="preserve"> Dweck, C. S. (2006). </w:t>
      </w:r>
      <w:r w:rsidRPr="004719A6">
        <w:rPr>
          <w:rFonts w:asciiTheme="minorHAnsi" w:hAnsiTheme="minorHAnsi" w:cstheme="minorHAnsi"/>
          <w:i/>
          <w:iCs/>
          <w:color w:val="auto"/>
          <w:sz w:val="18"/>
          <w:szCs w:val="18"/>
        </w:rPr>
        <w:t>Mindset: The new psychology of success.</w:t>
      </w:r>
      <w:r w:rsidRPr="004719A6">
        <w:rPr>
          <w:rFonts w:asciiTheme="minorHAnsi" w:hAnsiTheme="minorHAnsi" w:cstheme="minorHAnsi"/>
          <w:color w:val="auto"/>
          <w:sz w:val="18"/>
          <w:szCs w:val="18"/>
        </w:rPr>
        <w:t xml:space="preserve"> New York: Random House.</w:t>
      </w:r>
    </w:p>
  </w:footnote>
  <w:footnote w:id="10">
    <w:p w14:paraId="13F95A1F" w14:textId="77777777" w:rsidR="004D1B1D" w:rsidRPr="004719A6" w:rsidRDefault="004D1B1D" w:rsidP="004D1B1D">
      <w:pPr>
        <w:pStyle w:val="FootnoteText"/>
        <w:rPr>
          <w:rFonts w:asciiTheme="minorHAnsi" w:hAnsiTheme="minorHAnsi" w:cstheme="minorHAnsi"/>
          <w:color w:val="auto"/>
          <w:sz w:val="18"/>
          <w:szCs w:val="18"/>
        </w:rPr>
      </w:pPr>
      <w:r w:rsidRPr="004719A6">
        <w:rPr>
          <w:rStyle w:val="FootnoteReference"/>
          <w:rFonts w:asciiTheme="minorHAnsi" w:hAnsiTheme="minorHAnsi" w:cstheme="minorHAnsi"/>
          <w:color w:val="auto"/>
          <w:sz w:val="18"/>
          <w:szCs w:val="18"/>
        </w:rPr>
        <w:footnoteRef/>
      </w:r>
      <w:r w:rsidRPr="004719A6">
        <w:rPr>
          <w:rFonts w:asciiTheme="minorHAnsi" w:hAnsiTheme="minorHAnsi" w:cstheme="minorHAnsi"/>
          <w:color w:val="auto"/>
          <w:sz w:val="18"/>
          <w:szCs w:val="18"/>
        </w:rPr>
        <w:t xml:space="preserve"> Bourdieu, P. (1997). The forms of capital. In A. H. Halsey, H. Lauder, P. Brown &amp; A. S. Wells (Eds). </w:t>
      </w:r>
      <w:r w:rsidRPr="004719A6">
        <w:rPr>
          <w:rFonts w:asciiTheme="minorHAnsi" w:hAnsiTheme="minorHAnsi" w:cstheme="minorHAnsi"/>
          <w:i/>
          <w:iCs/>
          <w:color w:val="auto"/>
          <w:sz w:val="18"/>
          <w:szCs w:val="18"/>
        </w:rPr>
        <w:t>Education: culture, economy and society.</w:t>
      </w:r>
      <w:r w:rsidRPr="004719A6">
        <w:rPr>
          <w:rFonts w:asciiTheme="minorHAnsi" w:hAnsiTheme="minorHAnsi" w:cstheme="minorHAnsi"/>
          <w:color w:val="auto"/>
          <w:sz w:val="18"/>
          <w:szCs w:val="18"/>
        </w:rPr>
        <w:t xml:space="preserve"> Oxford, England: Oxford University Press.</w:t>
      </w:r>
    </w:p>
  </w:footnote>
  <w:footnote w:id="11">
    <w:p w14:paraId="60031BE5" w14:textId="77777777" w:rsidR="004D1B1D" w:rsidRPr="004719A6" w:rsidRDefault="004D1B1D" w:rsidP="004D1B1D">
      <w:pPr>
        <w:pStyle w:val="FootnoteText"/>
        <w:rPr>
          <w:rFonts w:asciiTheme="minorHAnsi" w:hAnsiTheme="minorHAnsi" w:cstheme="minorHAnsi"/>
          <w:color w:val="auto"/>
          <w:sz w:val="18"/>
          <w:szCs w:val="18"/>
        </w:rPr>
      </w:pPr>
      <w:r w:rsidRPr="004719A6">
        <w:rPr>
          <w:rStyle w:val="FootnoteReference"/>
          <w:rFonts w:asciiTheme="minorHAnsi" w:hAnsiTheme="minorHAnsi" w:cstheme="minorHAnsi"/>
          <w:color w:val="auto"/>
          <w:sz w:val="18"/>
          <w:szCs w:val="18"/>
        </w:rPr>
        <w:footnoteRef/>
      </w:r>
      <w:r w:rsidRPr="004719A6">
        <w:rPr>
          <w:rFonts w:asciiTheme="minorHAnsi" w:hAnsiTheme="minorHAnsi" w:cstheme="minorHAnsi"/>
          <w:color w:val="auto"/>
          <w:sz w:val="18"/>
          <w:szCs w:val="18"/>
        </w:rPr>
        <w:t xml:space="preserve"> Frederickson, N., Warren, L. &amp; Turner, J. (2005). “Circle of Friends”- An exploration of impact over time. </w:t>
      </w:r>
      <w:r w:rsidRPr="004719A6">
        <w:rPr>
          <w:rFonts w:asciiTheme="minorHAnsi" w:hAnsiTheme="minorHAnsi" w:cstheme="minorHAnsi"/>
          <w:i/>
          <w:iCs/>
          <w:color w:val="auto"/>
          <w:sz w:val="18"/>
          <w:szCs w:val="18"/>
        </w:rPr>
        <w:t>Educational psychology in practice, 21</w:t>
      </w:r>
      <w:r w:rsidRPr="004719A6">
        <w:rPr>
          <w:rFonts w:asciiTheme="minorHAnsi" w:hAnsiTheme="minorHAnsi" w:cstheme="minorHAnsi"/>
          <w:color w:val="auto"/>
          <w:sz w:val="18"/>
          <w:szCs w:val="18"/>
        </w:rPr>
        <w:t>(3), 197-217. https://doi.org/10.1080/02667360500205883</w:t>
      </w:r>
    </w:p>
  </w:footnote>
  <w:footnote w:id="12">
    <w:p w14:paraId="725208B7" w14:textId="77777777" w:rsidR="004D1B1D" w:rsidRDefault="004D1B1D" w:rsidP="004D1B1D">
      <w:pPr>
        <w:pStyle w:val="FootnoteText"/>
      </w:pPr>
      <w:r w:rsidRPr="004719A6">
        <w:rPr>
          <w:rStyle w:val="FootnoteReference"/>
          <w:rFonts w:asciiTheme="minorHAnsi" w:hAnsiTheme="minorHAnsi" w:cstheme="minorHAnsi"/>
          <w:color w:val="auto"/>
          <w:sz w:val="18"/>
          <w:szCs w:val="18"/>
        </w:rPr>
        <w:footnoteRef/>
      </w:r>
      <w:r w:rsidRPr="004719A6">
        <w:rPr>
          <w:rFonts w:asciiTheme="minorHAnsi" w:hAnsiTheme="minorHAnsi" w:cstheme="minorHAnsi"/>
          <w:color w:val="auto"/>
          <w:sz w:val="18"/>
          <w:szCs w:val="18"/>
        </w:rPr>
        <w:t xml:space="preserve"> Williams, R. (2013). Model of citizenhood support 2</w:t>
      </w:r>
      <w:r w:rsidRPr="004719A6">
        <w:rPr>
          <w:rFonts w:asciiTheme="minorHAnsi" w:hAnsiTheme="minorHAnsi" w:cstheme="minorHAnsi"/>
          <w:color w:val="auto"/>
          <w:sz w:val="18"/>
          <w:szCs w:val="18"/>
          <w:vertAlign w:val="superscript"/>
        </w:rPr>
        <w:t>nd</w:t>
      </w:r>
      <w:r w:rsidRPr="004719A6">
        <w:rPr>
          <w:rFonts w:asciiTheme="minorHAnsi" w:hAnsiTheme="minorHAnsi" w:cstheme="minorHAnsi"/>
          <w:color w:val="auto"/>
          <w:sz w:val="18"/>
          <w:szCs w:val="18"/>
        </w:rPr>
        <w:t xml:space="preserve"> edition. Retrieved from </w:t>
      </w:r>
      <w:hyperlink r:id="rId4" w:history="1">
        <w:r w:rsidRPr="004719A6">
          <w:rPr>
            <w:rStyle w:val="Hyperlink"/>
            <w:rFonts w:asciiTheme="minorHAnsi" w:hAnsiTheme="minorHAnsi" w:cstheme="minorHAnsi"/>
            <w:color w:val="auto"/>
            <w:sz w:val="18"/>
            <w:szCs w:val="18"/>
            <w:u w:val="none"/>
          </w:rPr>
          <w:t>http://www.valuesinaction.org.au/application/files/7614/7253/8281/Model_of_Citizenhood_Support_2nd_Edition_FINAL.pdf</w:t>
        </w:r>
      </w:hyperlink>
      <w:r w:rsidRPr="004719A6">
        <w:rPr>
          <w:color w:val="aut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15:restartNumberingAfterBreak="0">
    <w:nsid w:val="0ECA121E"/>
    <w:multiLevelType w:val="hybridMultilevel"/>
    <w:tmpl w:val="717CFE2E"/>
    <w:lvl w:ilvl="0" w:tplc="74927366">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026119"/>
    <w:multiLevelType w:val="hybridMultilevel"/>
    <w:tmpl w:val="9D9AB53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5"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7"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1" w15:restartNumberingAfterBreak="0">
    <w:nsid w:val="5E8E2CB6"/>
    <w:multiLevelType w:val="hybridMultilevel"/>
    <w:tmpl w:val="D6C4BF34"/>
    <w:lvl w:ilvl="0" w:tplc="74927366">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3" w15:restartNumberingAfterBreak="0">
    <w:nsid w:val="7126060A"/>
    <w:multiLevelType w:val="hybridMultilevel"/>
    <w:tmpl w:val="791A3E98"/>
    <w:lvl w:ilvl="0" w:tplc="6A3C03E4">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num w:numId="1">
    <w:abstractNumId w:val="10"/>
  </w:num>
  <w:num w:numId="2">
    <w:abstractNumId w:val="6"/>
  </w:num>
  <w:num w:numId="3">
    <w:abstractNumId w:val="12"/>
  </w:num>
  <w:num w:numId="4">
    <w:abstractNumId w:val="4"/>
  </w:num>
  <w:num w:numId="5">
    <w:abstractNumId w:val="0"/>
  </w:num>
  <w:num w:numId="6">
    <w:abstractNumId w:val="3"/>
  </w:num>
  <w:num w:numId="7">
    <w:abstractNumId w:val="5"/>
  </w:num>
  <w:num w:numId="8">
    <w:abstractNumId w:val="8"/>
  </w:num>
  <w:num w:numId="9">
    <w:abstractNumId w:val="7"/>
  </w:num>
  <w:num w:numId="10">
    <w:abstractNumId w:val="9"/>
  </w:num>
  <w:num w:numId="11">
    <w:abstractNumId w:val="1"/>
  </w:num>
  <w:num w:numId="12">
    <w:abstractNumId w:val="11"/>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8433"/>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4481D"/>
    <w:rsid w:val="000B3C30"/>
    <w:rsid w:val="00140041"/>
    <w:rsid w:val="002105EC"/>
    <w:rsid w:val="00247B64"/>
    <w:rsid w:val="00267E9E"/>
    <w:rsid w:val="0027503A"/>
    <w:rsid w:val="00293303"/>
    <w:rsid w:val="0029493B"/>
    <w:rsid w:val="002E0578"/>
    <w:rsid w:val="00360D00"/>
    <w:rsid w:val="003B33B4"/>
    <w:rsid w:val="003D638B"/>
    <w:rsid w:val="00400C96"/>
    <w:rsid w:val="004316C2"/>
    <w:rsid w:val="004719A6"/>
    <w:rsid w:val="00483FF7"/>
    <w:rsid w:val="004D1B1D"/>
    <w:rsid w:val="00512492"/>
    <w:rsid w:val="0051346E"/>
    <w:rsid w:val="005234DA"/>
    <w:rsid w:val="005545FE"/>
    <w:rsid w:val="00560670"/>
    <w:rsid w:val="0057393D"/>
    <w:rsid w:val="00581C93"/>
    <w:rsid w:val="00591091"/>
    <w:rsid w:val="005A5F72"/>
    <w:rsid w:val="005B566E"/>
    <w:rsid w:val="005B5AB5"/>
    <w:rsid w:val="005C3C5D"/>
    <w:rsid w:val="005C4DED"/>
    <w:rsid w:val="005C7803"/>
    <w:rsid w:val="005F4C28"/>
    <w:rsid w:val="00604845"/>
    <w:rsid w:val="006710EF"/>
    <w:rsid w:val="006E1993"/>
    <w:rsid w:val="00713E94"/>
    <w:rsid w:val="007303B1"/>
    <w:rsid w:val="007316A5"/>
    <w:rsid w:val="00734472"/>
    <w:rsid w:val="007A2C9C"/>
    <w:rsid w:val="007B7989"/>
    <w:rsid w:val="007D5523"/>
    <w:rsid w:val="00800606"/>
    <w:rsid w:val="00800754"/>
    <w:rsid w:val="0082199A"/>
    <w:rsid w:val="00827D90"/>
    <w:rsid w:val="00882851"/>
    <w:rsid w:val="008B38C5"/>
    <w:rsid w:val="008C0421"/>
    <w:rsid w:val="008F64DB"/>
    <w:rsid w:val="0090090F"/>
    <w:rsid w:val="00913B17"/>
    <w:rsid w:val="00915AFE"/>
    <w:rsid w:val="0092468D"/>
    <w:rsid w:val="009375E2"/>
    <w:rsid w:val="009611E0"/>
    <w:rsid w:val="00965723"/>
    <w:rsid w:val="00966CD0"/>
    <w:rsid w:val="009A0198"/>
    <w:rsid w:val="00A1348E"/>
    <w:rsid w:val="00A22B47"/>
    <w:rsid w:val="00A25A5F"/>
    <w:rsid w:val="00A33B12"/>
    <w:rsid w:val="00A37C1D"/>
    <w:rsid w:val="00AA4B12"/>
    <w:rsid w:val="00B329F6"/>
    <w:rsid w:val="00BA3F61"/>
    <w:rsid w:val="00BB63F3"/>
    <w:rsid w:val="00BE1124"/>
    <w:rsid w:val="00BE6FCF"/>
    <w:rsid w:val="00BF47D4"/>
    <w:rsid w:val="00C01C00"/>
    <w:rsid w:val="00CA652B"/>
    <w:rsid w:val="00CB1C39"/>
    <w:rsid w:val="00D81237"/>
    <w:rsid w:val="00D91B45"/>
    <w:rsid w:val="00DB5719"/>
    <w:rsid w:val="00DD5513"/>
    <w:rsid w:val="00DD736E"/>
    <w:rsid w:val="00DE30E2"/>
    <w:rsid w:val="00E14A7F"/>
    <w:rsid w:val="00E150D7"/>
    <w:rsid w:val="00E27215"/>
    <w:rsid w:val="00E37B21"/>
    <w:rsid w:val="00E40DAA"/>
    <w:rsid w:val="00E4689F"/>
    <w:rsid w:val="00E84DAD"/>
    <w:rsid w:val="00EA18F3"/>
    <w:rsid w:val="00ED20DB"/>
    <w:rsid w:val="00ED7642"/>
    <w:rsid w:val="00F27CFC"/>
    <w:rsid w:val="00F66BE1"/>
    <w:rsid w:val="00F86F41"/>
    <w:rsid w:val="00F86F65"/>
    <w:rsid w:val="00FB2A12"/>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character" w:styleId="CommentReference">
    <w:name w:val="annotation reference"/>
    <w:basedOn w:val="DefaultParagraphFont"/>
    <w:uiPriority w:val="99"/>
    <w:semiHidden/>
    <w:unhideWhenUsed/>
    <w:rsid w:val="00A37C1D"/>
    <w:rPr>
      <w:sz w:val="16"/>
      <w:szCs w:val="16"/>
    </w:rPr>
  </w:style>
  <w:style w:type="paragraph" w:styleId="CommentText">
    <w:name w:val="annotation text"/>
    <w:basedOn w:val="Normal"/>
    <w:link w:val="CommentTextChar"/>
    <w:uiPriority w:val="99"/>
    <w:semiHidden/>
    <w:unhideWhenUsed/>
    <w:rsid w:val="00A37C1D"/>
    <w:pPr>
      <w:spacing w:after="0" w:line="240" w:lineRule="auto"/>
      <w:ind w:left="0" w:right="0" w:firstLine="0"/>
    </w:pPr>
    <w:rPr>
      <w:rFonts w:ascii="Times New Roman" w:eastAsia="Times New Roman" w:hAnsi="Times New Roman" w:cs="Times New Roman"/>
      <w:color w:val="auto"/>
      <w:sz w:val="20"/>
      <w:szCs w:val="20"/>
      <w:lang w:val="en-AU"/>
    </w:rPr>
  </w:style>
  <w:style w:type="character" w:customStyle="1" w:styleId="CommentTextChar">
    <w:name w:val="Comment Text Char"/>
    <w:basedOn w:val="DefaultParagraphFont"/>
    <w:link w:val="CommentText"/>
    <w:uiPriority w:val="99"/>
    <w:semiHidden/>
    <w:rsid w:val="00A37C1D"/>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A37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C1D"/>
    <w:rPr>
      <w:rFonts w:ascii="Segoe UI" w:eastAsia="Arial" w:hAnsi="Segoe UI" w:cs="Segoe UI"/>
      <w:color w:val="3434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youtu.be/0e24rfTZ2CQ"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hkgC4ZxP0xA"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youtu.be/-71zdXCMU6A"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vimeo.com/241128511" TargetMode="External"/><Relationship Id="rId14" Type="http://schemas.openxmlformats.org/officeDocument/2006/relationships/hyperlink" Target="https://inclusiveeducationplanning.com.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itsl.edu.au/docs/default-source/apst-resources/australian_professional_standard_for_teachers_final.pdf" TargetMode="External"/><Relationship Id="rId2" Type="http://schemas.openxmlformats.org/officeDocument/2006/relationships/hyperlink" Target="http://www.cast.org" TargetMode="External"/><Relationship Id="rId1" Type="http://schemas.openxmlformats.org/officeDocument/2006/relationships/hyperlink" Target="https://doi.org/10.1080/1047621042000257225" TargetMode="External"/><Relationship Id="rId4" Type="http://schemas.openxmlformats.org/officeDocument/2006/relationships/hyperlink" Target="http://www.valuesinaction.org.au/application/files/7614/7253/8281/Model_of_Citizenhood_Support_2nd_Edition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025C2-F3B2-4931-A05D-ACB6473F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5</cp:revision>
  <cp:lastPrinted>2019-12-11T01:44:00Z</cp:lastPrinted>
  <dcterms:created xsi:type="dcterms:W3CDTF">2019-12-11T06:02:00Z</dcterms:created>
  <dcterms:modified xsi:type="dcterms:W3CDTF">2019-12-18T02:38:00Z</dcterms:modified>
</cp:coreProperties>
</file>