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576209">
      <w:pPr>
        <w:pStyle w:val="Heading10"/>
        <w:spacing w:after="120" w:line="240" w:lineRule="auto"/>
        <w:rPr>
          <w:sz w:val="32"/>
          <w:szCs w:val="32"/>
        </w:rPr>
      </w:pPr>
      <w:r w:rsidRPr="00BB63F3">
        <w:rPr>
          <w:sz w:val="32"/>
          <w:szCs w:val="32"/>
        </w:rPr>
        <w:t>Inclusive School Practices Toolkit</w:t>
      </w:r>
    </w:p>
    <w:p w14:paraId="03A3F6DE" w14:textId="77777777" w:rsidR="00974EB9" w:rsidRPr="00974EB9" w:rsidRDefault="009375E2" w:rsidP="00576209">
      <w:pPr>
        <w:pStyle w:val="Heading10"/>
        <w:spacing w:after="120" w:line="240" w:lineRule="auto"/>
        <w:rPr>
          <w:sz w:val="48"/>
          <w:szCs w:val="48"/>
        </w:rPr>
      </w:pPr>
      <w:bookmarkStart w:id="0" w:name="_Hlk26954774"/>
      <w:r w:rsidRPr="009375E2">
        <w:rPr>
          <w:sz w:val="48"/>
          <w:szCs w:val="48"/>
        </w:rPr>
        <w:t xml:space="preserve">Exploring Disability and Inclusion Tool </w:t>
      </w:r>
      <w:r w:rsidR="00974EB9" w:rsidRPr="00974EB9">
        <w:rPr>
          <w:sz w:val="48"/>
          <w:szCs w:val="48"/>
        </w:rPr>
        <w:t>4:</w:t>
      </w:r>
    </w:p>
    <w:p w14:paraId="001A7045" w14:textId="44424A6F" w:rsidR="00B329F6" w:rsidRPr="00BB63F3" w:rsidRDefault="00974EB9" w:rsidP="00576209">
      <w:pPr>
        <w:pStyle w:val="Heading10"/>
        <w:spacing w:after="120" w:line="240" w:lineRule="auto"/>
        <w:rPr>
          <w:sz w:val="48"/>
          <w:szCs w:val="48"/>
        </w:rPr>
      </w:pPr>
      <w:r w:rsidRPr="00974EB9">
        <w:rPr>
          <w:sz w:val="48"/>
          <w:szCs w:val="48"/>
        </w:rPr>
        <w:t>Reflecting on Culture and Assumptions about Disability</w:t>
      </w:r>
    </w:p>
    <w:bookmarkEnd w:id="0"/>
    <w:p w14:paraId="1222DD9D" w14:textId="2C58DCE8" w:rsidR="00BB63F3" w:rsidRPr="00827D90" w:rsidRDefault="00BB63F3" w:rsidP="00576209">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576209">
      <w:pPr>
        <w:spacing w:after="120" w:line="240" w:lineRule="auto"/>
        <w:ind w:left="0" w:right="0" w:firstLine="0"/>
        <w:rPr>
          <w:rFonts w:ascii="Calibri" w:eastAsia="Calibri" w:hAnsi="Calibri" w:cs="Calibri"/>
          <w:color w:val="auto"/>
          <w:szCs w:val="24"/>
        </w:rPr>
      </w:pPr>
    </w:p>
    <w:p w14:paraId="1151C316" w14:textId="015C7123" w:rsidR="00293303" w:rsidRDefault="007A2C9C" w:rsidP="00576209">
      <w:pPr>
        <w:pStyle w:val="Heading2"/>
        <w:spacing w:before="0" w:after="120" w:line="240" w:lineRule="auto"/>
        <w:ind w:left="0"/>
      </w:pPr>
      <w:r w:rsidRPr="007A2C9C">
        <w:t>Introduction</w:t>
      </w:r>
    </w:p>
    <w:p w14:paraId="1DD15DAC" w14:textId="77777777" w:rsidR="00974EB9" w:rsidRPr="00974EB9" w:rsidRDefault="00974EB9" w:rsidP="00576209">
      <w:pPr>
        <w:spacing w:after="120" w:line="240" w:lineRule="auto"/>
        <w:ind w:left="0" w:right="0" w:firstLine="0"/>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 xml:space="preserve">This tool is the final in a series of four related tools written by Dr Leanne Longfellow drawing on her experience in advocating for family members with disability, her research and 30-year teaching career with students with disability. </w:t>
      </w:r>
    </w:p>
    <w:p w14:paraId="04034A9B" w14:textId="77777777" w:rsidR="00974EB9" w:rsidRPr="00974EB9" w:rsidRDefault="00974EB9" w:rsidP="00576209">
      <w:pPr>
        <w:spacing w:after="120" w:line="240" w:lineRule="auto"/>
        <w:ind w:left="0" w:right="0" w:firstLine="0"/>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 xml:space="preserve">Schools are encouraged to support their staff to examine their assumptions about disability, discuss relevant definitions and concepts, and reflect on the models of disability. This tool is designed to help school staff (leaders, educators, teacher aides, office staff, and other site staff) reflect on their beliefs about students living with disability and to discover which model of disability their worldview is most aligned with. The questionnaire below can be used to stimulate critical self-reflection among staff and with clear guidance and support, a shared understanding of the school’s view towards diversity and inclusion.       </w:t>
      </w:r>
    </w:p>
    <w:p w14:paraId="0D51DBDA" w14:textId="77777777" w:rsidR="00974EB9" w:rsidRPr="00974EB9" w:rsidRDefault="00974EB9" w:rsidP="00576209">
      <w:pPr>
        <w:spacing w:after="120" w:line="240" w:lineRule="auto"/>
        <w:ind w:left="0" w:right="0" w:firstLine="0"/>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We recommend this tool is read in conjunction with the three other tools by the same author:</w:t>
      </w:r>
    </w:p>
    <w:p w14:paraId="186BEEDF" w14:textId="77777777" w:rsidR="00974EB9" w:rsidRPr="00974EB9" w:rsidRDefault="00974EB9" w:rsidP="00576209">
      <w:pPr>
        <w:numPr>
          <w:ilvl w:val="0"/>
          <w:numId w:val="13"/>
        </w:numPr>
        <w:spacing w:after="120" w:line="240" w:lineRule="auto"/>
        <w:ind w:right="0"/>
        <w:contextualSpacing/>
        <w:rPr>
          <w:rFonts w:asciiTheme="minorHAnsi" w:eastAsia="Times New Roman" w:hAnsiTheme="minorHAnsi" w:cstheme="minorHAnsi"/>
          <w:iCs/>
          <w:color w:val="auto"/>
          <w:szCs w:val="24"/>
          <w:lang w:val="en-AU"/>
        </w:rPr>
      </w:pPr>
      <w:r w:rsidRPr="00974EB9">
        <w:rPr>
          <w:rFonts w:asciiTheme="minorHAnsi" w:eastAsia="Times New Roman" w:hAnsiTheme="minorHAnsi" w:cstheme="minorHAnsi"/>
          <w:color w:val="auto"/>
          <w:szCs w:val="24"/>
          <w:lang w:val="en-AU"/>
        </w:rPr>
        <w:t xml:space="preserve">‘Exploring Disability and Inclusion Tool 1: </w:t>
      </w:r>
      <w:r w:rsidRPr="00974EB9">
        <w:rPr>
          <w:rFonts w:asciiTheme="minorHAnsi" w:eastAsia="Times New Roman" w:hAnsiTheme="minorHAnsi" w:cstheme="minorHAnsi"/>
          <w:iCs/>
          <w:color w:val="auto"/>
          <w:szCs w:val="24"/>
          <w:lang w:val="en-AU"/>
        </w:rPr>
        <w:t>Unpacking Definitions’</w:t>
      </w:r>
    </w:p>
    <w:p w14:paraId="7FB7AF15" w14:textId="77777777" w:rsidR="00974EB9" w:rsidRPr="00974EB9" w:rsidRDefault="00974EB9" w:rsidP="00576209">
      <w:pPr>
        <w:numPr>
          <w:ilvl w:val="0"/>
          <w:numId w:val="13"/>
        </w:numPr>
        <w:spacing w:after="120" w:line="240" w:lineRule="auto"/>
        <w:ind w:right="0"/>
        <w:contextualSpacing/>
        <w:rPr>
          <w:rFonts w:asciiTheme="minorHAnsi" w:eastAsia="Times New Roman" w:hAnsiTheme="minorHAnsi" w:cstheme="minorHAnsi"/>
          <w:iCs/>
          <w:color w:val="auto"/>
          <w:szCs w:val="24"/>
          <w:lang w:val="en-AU"/>
        </w:rPr>
      </w:pPr>
      <w:r w:rsidRPr="00974EB9">
        <w:rPr>
          <w:rFonts w:asciiTheme="minorHAnsi" w:eastAsia="Times New Roman" w:hAnsiTheme="minorHAnsi" w:cstheme="minorHAnsi"/>
          <w:iCs/>
          <w:color w:val="auto"/>
          <w:szCs w:val="24"/>
          <w:lang w:val="en-AU"/>
        </w:rPr>
        <w:t xml:space="preserve">‘Exploring Disability and Inclusion Tool 2: The Models of Disability’ </w:t>
      </w:r>
    </w:p>
    <w:p w14:paraId="3D7E35EF" w14:textId="77777777" w:rsidR="00E3678E" w:rsidRDefault="00974EB9" w:rsidP="00576209">
      <w:pPr>
        <w:numPr>
          <w:ilvl w:val="0"/>
          <w:numId w:val="13"/>
        </w:numPr>
        <w:spacing w:after="120" w:line="240" w:lineRule="auto"/>
        <w:ind w:right="0"/>
        <w:contextualSpacing/>
        <w:rPr>
          <w:rFonts w:asciiTheme="minorHAnsi" w:eastAsia="Times New Roman" w:hAnsiTheme="minorHAnsi" w:cstheme="minorHAnsi"/>
          <w:iCs/>
          <w:color w:val="auto"/>
          <w:szCs w:val="24"/>
          <w:lang w:val="en-AU"/>
        </w:rPr>
      </w:pPr>
      <w:r w:rsidRPr="00974EB9">
        <w:rPr>
          <w:rFonts w:asciiTheme="minorHAnsi" w:eastAsia="Times New Roman" w:hAnsiTheme="minorHAnsi" w:cstheme="minorHAnsi"/>
          <w:iCs/>
          <w:color w:val="auto"/>
          <w:szCs w:val="24"/>
          <w:lang w:val="en-AU"/>
        </w:rPr>
        <w:t>‘Exploring Disability and Inclusion Tool 3: Applying the Social Model of Disability to School Inclusion’</w:t>
      </w:r>
    </w:p>
    <w:p w14:paraId="31D35243" w14:textId="79D7AC61" w:rsidR="00E3678E" w:rsidRDefault="00E3678E" w:rsidP="00E3678E">
      <w:pPr>
        <w:spacing w:after="120" w:line="276" w:lineRule="auto"/>
        <w:ind w:right="0"/>
        <w:contextualSpacing/>
        <w:rPr>
          <w:rFonts w:asciiTheme="minorHAnsi" w:eastAsia="Times New Roman" w:hAnsiTheme="minorHAnsi" w:cstheme="minorHAnsi"/>
          <w:iCs/>
          <w:color w:val="auto"/>
          <w:szCs w:val="24"/>
          <w:lang w:val="en-AU"/>
        </w:rPr>
      </w:pPr>
    </w:p>
    <w:p w14:paraId="61FCEC90" w14:textId="3F0C3CBC" w:rsidR="004D6F2B" w:rsidRDefault="004D6F2B" w:rsidP="00E3678E">
      <w:pPr>
        <w:spacing w:after="120" w:line="276" w:lineRule="auto"/>
        <w:ind w:right="0"/>
        <w:contextualSpacing/>
        <w:rPr>
          <w:rFonts w:asciiTheme="minorHAnsi" w:eastAsia="Times New Roman" w:hAnsiTheme="minorHAnsi" w:cstheme="minorHAnsi"/>
          <w:iCs/>
          <w:color w:val="auto"/>
          <w:szCs w:val="24"/>
          <w:lang w:val="en-AU"/>
        </w:rPr>
      </w:pPr>
    </w:p>
    <w:p w14:paraId="566B38A6" w14:textId="77777777" w:rsidR="004D6F2B" w:rsidRDefault="004D6F2B" w:rsidP="00E3678E">
      <w:pPr>
        <w:spacing w:after="120" w:line="276" w:lineRule="auto"/>
        <w:ind w:right="0"/>
        <w:contextualSpacing/>
        <w:rPr>
          <w:rFonts w:asciiTheme="minorHAnsi" w:eastAsia="Times New Roman" w:hAnsiTheme="minorHAnsi" w:cstheme="minorHAnsi"/>
          <w:iCs/>
          <w:color w:val="auto"/>
          <w:szCs w:val="24"/>
          <w:lang w:val="en-AU"/>
        </w:rPr>
      </w:pPr>
    </w:p>
    <w:p w14:paraId="270571DE" w14:textId="16EE0BCC" w:rsidR="00576209" w:rsidRDefault="00576209" w:rsidP="00E3678E">
      <w:pPr>
        <w:spacing w:after="120" w:line="276" w:lineRule="auto"/>
        <w:ind w:right="0"/>
        <w:contextualSpacing/>
        <w:rPr>
          <w:rFonts w:asciiTheme="minorHAnsi" w:eastAsia="Times New Roman" w:hAnsiTheme="minorHAnsi" w:cstheme="minorHAnsi"/>
          <w:iCs/>
          <w:color w:val="auto"/>
          <w:szCs w:val="24"/>
          <w:lang w:val="en-AU"/>
        </w:rPr>
      </w:pPr>
    </w:p>
    <w:p w14:paraId="454742C9" w14:textId="59DA0344" w:rsidR="00576209" w:rsidRDefault="00576209" w:rsidP="00E3678E">
      <w:pPr>
        <w:spacing w:after="120" w:line="276" w:lineRule="auto"/>
        <w:ind w:right="0"/>
        <w:contextualSpacing/>
        <w:rPr>
          <w:rFonts w:asciiTheme="minorHAnsi" w:eastAsia="Times New Roman" w:hAnsiTheme="minorHAnsi" w:cstheme="minorHAnsi"/>
          <w:iCs/>
          <w:color w:val="auto"/>
          <w:szCs w:val="24"/>
          <w:lang w:val="en-AU"/>
        </w:rPr>
      </w:pPr>
    </w:p>
    <w:p w14:paraId="1BBC3746" w14:textId="1EA13DAA" w:rsidR="00576209" w:rsidRDefault="00576209" w:rsidP="00E3678E">
      <w:pPr>
        <w:spacing w:after="120" w:line="276" w:lineRule="auto"/>
        <w:ind w:right="0"/>
        <w:contextualSpacing/>
        <w:rPr>
          <w:rFonts w:asciiTheme="minorHAnsi" w:eastAsia="Times New Roman" w:hAnsiTheme="minorHAnsi" w:cstheme="minorHAnsi"/>
          <w:iCs/>
          <w:color w:val="auto"/>
          <w:szCs w:val="24"/>
          <w:lang w:val="en-AU"/>
        </w:rPr>
      </w:pPr>
    </w:p>
    <w:p w14:paraId="2AC7764E" w14:textId="77777777" w:rsidR="00576209" w:rsidRDefault="00576209" w:rsidP="00E3678E">
      <w:pPr>
        <w:spacing w:after="120" w:line="276" w:lineRule="auto"/>
        <w:ind w:right="0"/>
        <w:contextualSpacing/>
        <w:rPr>
          <w:rFonts w:asciiTheme="minorHAnsi" w:eastAsia="Times New Roman" w:hAnsiTheme="minorHAnsi" w:cstheme="minorHAnsi"/>
          <w:iCs/>
          <w:color w:val="auto"/>
          <w:szCs w:val="24"/>
          <w:lang w:val="en-AU"/>
        </w:rPr>
      </w:pPr>
    </w:p>
    <w:p w14:paraId="291F2778" w14:textId="77777777" w:rsidR="00E3678E" w:rsidRDefault="00E3678E" w:rsidP="00E3678E">
      <w:pPr>
        <w:spacing w:after="120" w:line="276" w:lineRule="auto"/>
        <w:ind w:right="0"/>
        <w:contextualSpacing/>
        <w:rPr>
          <w:rFonts w:asciiTheme="minorHAnsi" w:eastAsia="Times New Roman" w:hAnsiTheme="minorHAnsi" w:cstheme="minorHAnsi"/>
          <w:iCs/>
          <w:color w:val="auto"/>
          <w:szCs w:val="24"/>
          <w:lang w:val="en-AU"/>
        </w:rPr>
      </w:pPr>
    </w:p>
    <w:p w14:paraId="6AA57A34" w14:textId="77777777" w:rsidR="00E3678E" w:rsidRDefault="00E3678E" w:rsidP="00E3678E">
      <w:pPr>
        <w:spacing w:after="120" w:line="276" w:lineRule="auto"/>
        <w:ind w:right="0"/>
        <w:contextualSpacing/>
        <w:rPr>
          <w:rFonts w:asciiTheme="minorHAnsi" w:eastAsia="Times New Roman" w:hAnsiTheme="minorHAnsi" w:cstheme="minorHAnsi"/>
          <w:iCs/>
          <w:color w:val="auto"/>
          <w:szCs w:val="24"/>
          <w:lang w:val="en-AU"/>
        </w:rPr>
      </w:pPr>
    </w:p>
    <w:p w14:paraId="6FD3EC08" w14:textId="77777777" w:rsidR="00E3678E" w:rsidRDefault="00E3678E" w:rsidP="00E3678E">
      <w:pPr>
        <w:spacing w:after="120" w:line="276" w:lineRule="auto"/>
        <w:ind w:right="0"/>
        <w:contextualSpacing/>
        <w:rPr>
          <w:rFonts w:asciiTheme="minorHAnsi" w:eastAsia="Times New Roman" w:hAnsiTheme="minorHAnsi" w:cstheme="minorHAnsi"/>
          <w:iCs/>
          <w:color w:val="auto"/>
          <w:szCs w:val="24"/>
          <w:lang w:val="en-AU"/>
        </w:rPr>
      </w:pPr>
    </w:p>
    <w:p w14:paraId="5B266FE8" w14:textId="50A13089" w:rsidR="004D6F2B" w:rsidRDefault="00974EB9" w:rsidP="004D6F2B">
      <w:pPr>
        <w:spacing w:after="120" w:line="276" w:lineRule="auto"/>
        <w:ind w:right="0"/>
        <w:contextualSpacing/>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 xml:space="preserve"> </w:t>
      </w:r>
    </w:p>
    <w:p w14:paraId="52CFCCD0" w14:textId="08F127A0" w:rsidR="004D6F2B" w:rsidRDefault="004D6F2B" w:rsidP="004D6F2B">
      <w:pPr>
        <w:spacing w:after="120" w:line="276" w:lineRule="auto"/>
        <w:ind w:right="0"/>
        <w:contextualSpacing/>
        <w:rPr>
          <w:rFonts w:asciiTheme="minorHAnsi" w:eastAsia="Times New Roman" w:hAnsiTheme="minorHAnsi" w:cstheme="minorHAnsi"/>
          <w:color w:val="auto"/>
          <w:szCs w:val="24"/>
          <w:lang w:val="en-AU"/>
        </w:rPr>
      </w:pPr>
    </w:p>
    <w:p w14:paraId="2689D35C" w14:textId="107E26AC" w:rsidR="004D6F2B" w:rsidRDefault="004D6F2B" w:rsidP="004D6F2B">
      <w:pPr>
        <w:spacing w:after="120" w:line="276" w:lineRule="auto"/>
        <w:ind w:right="0"/>
        <w:contextualSpacing/>
        <w:rPr>
          <w:rFonts w:asciiTheme="minorHAnsi" w:eastAsia="Times New Roman" w:hAnsiTheme="minorHAnsi" w:cstheme="minorHAnsi"/>
          <w:color w:val="auto"/>
          <w:szCs w:val="24"/>
          <w:lang w:val="en-AU"/>
        </w:rPr>
      </w:pPr>
    </w:p>
    <w:p w14:paraId="4C300C1C" w14:textId="6A690D0C" w:rsidR="007A2C9C" w:rsidRDefault="007A2C9C" w:rsidP="004D6F2B">
      <w:pPr>
        <w:pStyle w:val="Heading2"/>
        <w:spacing w:before="0" w:after="120" w:line="240" w:lineRule="auto"/>
        <w:ind w:left="0" w:firstLine="0"/>
      </w:pPr>
      <w:r w:rsidRPr="007A2C9C">
        <w:lastRenderedPageBreak/>
        <w:t xml:space="preserve">Ideas </w:t>
      </w:r>
    </w:p>
    <w:p w14:paraId="716C77B3" w14:textId="77777777" w:rsidR="00974EB9" w:rsidRPr="00974EB9" w:rsidRDefault="00974EB9" w:rsidP="00974EB9">
      <w:pPr>
        <w:spacing w:after="120" w:line="276" w:lineRule="auto"/>
        <w:ind w:left="0" w:right="0" w:firstLine="0"/>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The questionnaire below is informed by Rosalyn Benjamin Darling’s research on disability and identity</w:t>
      </w:r>
      <w:r w:rsidRPr="00974EB9">
        <w:rPr>
          <w:rFonts w:asciiTheme="minorHAnsi" w:eastAsia="Times New Roman" w:hAnsiTheme="minorHAnsi" w:cstheme="minorHAnsi"/>
          <w:color w:val="auto"/>
          <w:szCs w:val="24"/>
          <w:vertAlign w:val="superscript"/>
          <w:lang w:val="en-AU"/>
        </w:rPr>
        <w:footnoteReference w:id="1"/>
      </w:r>
      <w:r w:rsidRPr="00974EB9">
        <w:rPr>
          <w:rFonts w:asciiTheme="minorHAnsi" w:eastAsia="Times New Roman" w:hAnsiTheme="minorHAnsi" w:cstheme="minorHAnsi"/>
          <w:color w:val="auto"/>
          <w:szCs w:val="24"/>
          <w:lang w:val="en-AU"/>
        </w:rPr>
        <w:t xml:space="preserve">. This tool is intended to provide an opportunity for school staff (most importantly, educators and teacher aides) to reflect on their culture and assumptions related to diversity, disability and inclusion. </w:t>
      </w:r>
    </w:p>
    <w:p w14:paraId="74EFAF37" w14:textId="77777777" w:rsidR="00E3678E" w:rsidRDefault="00E3678E" w:rsidP="00E3678E">
      <w:pPr>
        <w:pStyle w:val="Heading2"/>
        <w:spacing w:before="0" w:after="120" w:line="240" w:lineRule="auto"/>
        <w:ind w:left="0" w:firstLine="0"/>
      </w:pPr>
    </w:p>
    <w:p w14:paraId="4B0C0CA0" w14:textId="1EDBE512" w:rsidR="005C3C5D" w:rsidRPr="005C3C5D" w:rsidRDefault="00BB63F3" w:rsidP="00E3678E">
      <w:pPr>
        <w:pStyle w:val="Heading2"/>
        <w:spacing w:before="0" w:after="120" w:line="240" w:lineRule="auto"/>
        <w:ind w:left="0" w:firstLine="0"/>
      </w:pPr>
      <w:r>
        <w:t>Actions</w:t>
      </w:r>
    </w:p>
    <w:p w14:paraId="14C0F991" w14:textId="77777777" w:rsidR="00974EB9" w:rsidRDefault="00974EB9" w:rsidP="00A37C1D">
      <w:pPr>
        <w:pStyle w:val="Heading2"/>
        <w:spacing w:before="0" w:after="120" w:line="240" w:lineRule="auto"/>
        <w:ind w:left="0"/>
        <w:rPr>
          <w:rFonts w:asciiTheme="minorHAnsi" w:eastAsia="Times New Roman" w:hAnsiTheme="minorHAnsi" w:cstheme="minorHAnsi"/>
          <w:b w:val="0"/>
          <w:noProof w:val="0"/>
          <w:color w:val="auto"/>
          <w:w w:val="100"/>
          <w:sz w:val="24"/>
          <w:szCs w:val="24"/>
          <w:lang w:val="en-AU"/>
        </w:rPr>
      </w:pPr>
      <w:r w:rsidRPr="00974EB9">
        <w:rPr>
          <w:rFonts w:asciiTheme="minorHAnsi" w:eastAsia="Times New Roman" w:hAnsiTheme="minorHAnsi" w:cstheme="minorHAnsi"/>
          <w:b w:val="0"/>
          <w:noProof w:val="0"/>
          <w:color w:val="auto"/>
          <w:w w:val="100"/>
          <w:sz w:val="24"/>
          <w:szCs w:val="24"/>
          <w:lang w:val="en-AU"/>
        </w:rPr>
        <w:t xml:space="preserve">A school may use this questionnaire as part of their staff’s reflective practice and internal professional learning. It may be used in individual (e.g., staff supervision) or group settings (i.e., staff meeting/ professional development meetings) however a capable facilitator is required to create safety for participants and stimulate open discussion. ‘Handout 1: Questionnaire’ should be provided and completed by participants first and ‘Handout 2: Unpacking the myths’ second.   </w:t>
      </w:r>
    </w:p>
    <w:p w14:paraId="36541C1C" w14:textId="1B4408D3" w:rsidR="00E3678E" w:rsidRDefault="00E3678E" w:rsidP="00A37C1D">
      <w:pPr>
        <w:pStyle w:val="Heading2"/>
        <w:spacing w:before="0" w:after="120" w:line="240" w:lineRule="auto"/>
        <w:ind w:left="0"/>
        <w:rPr>
          <w:i/>
          <w:iCs/>
          <w:sz w:val="24"/>
          <w:szCs w:val="24"/>
        </w:rPr>
      </w:pPr>
    </w:p>
    <w:p w14:paraId="1C1334F7" w14:textId="27E39597" w:rsidR="0081132D" w:rsidRDefault="0081132D" w:rsidP="00A37C1D">
      <w:pPr>
        <w:pStyle w:val="Heading2"/>
        <w:spacing w:before="0" w:after="120" w:line="240" w:lineRule="auto"/>
        <w:ind w:left="0"/>
        <w:rPr>
          <w:i/>
          <w:iCs/>
          <w:sz w:val="24"/>
          <w:szCs w:val="24"/>
        </w:rPr>
      </w:pPr>
    </w:p>
    <w:p w14:paraId="60EE7BA0" w14:textId="380984B0" w:rsidR="0081132D" w:rsidRDefault="0081132D" w:rsidP="00A37C1D">
      <w:pPr>
        <w:pStyle w:val="Heading2"/>
        <w:spacing w:before="0" w:after="120" w:line="240" w:lineRule="auto"/>
        <w:ind w:left="0"/>
        <w:rPr>
          <w:i/>
          <w:iCs/>
          <w:sz w:val="24"/>
          <w:szCs w:val="24"/>
        </w:rPr>
      </w:pPr>
    </w:p>
    <w:p w14:paraId="2E1DF717" w14:textId="77777777" w:rsidR="0081132D" w:rsidRDefault="0081132D" w:rsidP="00A37C1D">
      <w:pPr>
        <w:pStyle w:val="Heading2"/>
        <w:spacing w:before="0" w:after="120" w:line="240" w:lineRule="auto"/>
        <w:ind w:left="0"/>
        <w:rPr>
          <w:i/>
          <w:iCs/>
          <w:sz w:val="24"/>
          <w:szCs w:val="24"/>
        </w:rPr>
      </w:pPr>
    </w:p>
    <w:p w14:paraId="1D12D8E2" w14:textId="77777777" w:rsidR="00E3678E" w:rsidRDefault="00E3678E" w:rsidP="00A37C1D">
      <w:pPr>
        <w:pStyle w:val="Heading2"/>
        <w:spacing w:before="0" w:after="120" w:line="240" w:lineRule="auto"/>
        <w:ind w:left="0"/>
        <w:rPr>
          <w:i/>
          <w:iCs/>
          <w:sz w:val="24"/>
          <w:szCs w:val="24"/>
        </w:rPr>
      </w:pPr>
    </w:p>
    <w:p w14:paraId="4E3E11BE" w14:textId="77777777" w:rsidR="00E3678E" w:rsidRDefault="00E3678E" w:rsidP="00A37C1D">
      <w:pPr>
        <w:pStyle w:val="Heading2"/>
        <w:spacing w:before="0" w:after="120" w:line="240" w:lineRule="auto"/>
        <w:ind w:left="0"/>
        <w:rPr>
          <w:i/>
          <w:iCs/>
          <w:sz w:val="24"/>
          <w:szCs w:val="24"/>
        </w:rPr>
      </w:pPr>
    </w:p>
    <w:p w14:paraId="0AF89AB8" w14:textId="77777777" w:rsidR="00E3678E" w:rsidRDefault="00E3678E" w:rsidP="00A37C1D">
      <w:pPr>
        <w:pStyle w:val="Heading2"/>
        <w:spacing w:before="0" w:after="120" w:line="240" w:lineRule="auto"/>
        <w:ind w:left="0"/>
        <w:rPr>
          <w:i/>
          <w:iCs/>
          <w:sz w:val="24"/>
          <w:szCs w:val="24"/>
        </w:rPr>
      </w:pPr>
    </w:p>
    <w:p w14:paraId="027F96C1" w14:textId="77777777" w:rsidR="00E3678E" w:rsidRDefault="00E3678E" w:rsidP="00A37C1D">
      <w:pPr>
        <w:pStyle w:val="Heading2"/>
        <w:spacing w:before="0" w:after="120" w:line="240" w:lineRule="auto"/>
        <w:ind w:left="0"/>
        <w:rPr>
          <w:i/>
          <w:iCs/>
          <w:sz w:val="24"/>
          <w:szCs w:val="24"/>
        </w:rPr>
      </w:pPr>
    </w:p>
    <w:p w14:paraId="3995F238" w14:textId="77777777" w:rsidR="00E3678E" w:rsidRDefault="00E3678E" w:rsidP="00A37C1D">
      <w:pPr>
        <w:pStyle w:val="Heading2"/>
        <w:spacing w:before="0" w:after="120" w:line="240" w:lineRule="auto"/>
        <w:ind w:left="0"/>
        <w:rPr>
          <w:i/>
          <w:iCs/>
          <w:sz w:val="24"/>
          <w:szCs w:val="24"/>
        </w:rPr>
      </w:pPr>
    </w:p>
    <w:p w14:paraId="108FAE52" w14:textId="77777777" w:rsidR="00E3678E" w:rsidRDefault="00E3678E" w:rsidP="00A37C1D">
      <w:pPr>
        <w:pStyle w:val="Heading2"/>
        <w:spacing w:before="0" w:after="120" w:line="240" w:lineRule="auto"/>
        <w:ind w:left="0"/>
        <w:rPr>
          <w:i/>
          <w:iCs/>
          <w:sz w:val="24"/>
          <w:szCs w:val="24"/>
        </w:rPr>
      </w:pPr>
    </w:p>
    <w:p w14:paraId="0EA28D84" w14:textId="77777777" w:rsidR="00E3678E" w:rsidRDefault="00E3678E" w:rsidP="00A37C1D">
      <w:pPr>
        <w:pStyle w:val="Heading2"/>
        <w:spacing w:before="0" w:after="120" w:line="240" w:lineRule="auto"/>
        <w:ind w:left="0"/>
        <w:rPr>
          <w:i/>
          <w:iCs/>
          <w:sz w:val="24"/>
          <w:szCs w:val="24"/>
        </w:rPr>
      </w:pPr>
    </w:p>
    <w:p w14:paraId="7D5E152D" w14:textId="77777777" w:rsidR="00E3678E" w:rsidRDefault="00E3678E" w:rsidP="00A37C1D">
      <w:pPr>
        <w:pStyle w:val="Heading2"/>
        <w:spacing w:before="0" w:after="120" w:line="240" w:lineRule="auto"/>
        <w:ind w:left="0"/>
        <w:rPr>
          <w:i/>
          <w:iCs/>
          <w:sz w:val="24"/>
          <w:szCs w:val="24"/>
        </w:rPr>
      </w:pPr>
    </w:p>
    <w:p w14:paraId="70EC9E6E" w14:textId="77777777" w:rsidR="00E3678E" w:rsidRDefault="00E3678E" w:rsidP="00A37C1D">
      <w:pPr>
        <w:pStyle w:val="Heading2"/>
        <w:spacing w:before="0" w:after="120" w:line="240" w:lineRule="auto"/>
        <w:ind w:left="0"/>
        <w:rPr>
          <w:i/>
          <w:iCs/>
          <w:sz w:val="24"/>
          <w:szCs w:val="24"/>
        </w:rPr>
      </w:pPr>
    </w:p>
    <w:p w14:paraId="0F6EB027" w14:textId="77777777" w:rsidR="00E3678E" w:rsidRDefault="00E3678E" w:rsidP="00A37C1D">
      <w:pPr>
        <w:pStyle w:val="Heading2"/>
        <w:spacing w:before="0" w:after="120" w:line="240" w:lineRule="auto"/>
        <w:ind w:left="0"/>
        <w:rPr>
          <w:i/>
          <w:iCs/>
          <w:sz w:val="24"/>
          <w:szCs w:val="24"/>
        </w:rPr>
      </w:pPr>
    </w:p>
    <w:p w14:paraId="56FD5EE1" w14:textId="77777777" w:rsidR="00E3678E" w:rsidRDefault="00E3678E" w:rsidP="00A37C1D">
      <w:pPr>
        <w:pStyle w:val="Heading2"/>
        <w:spacing w:before="0" w:after="120" w:line="240" w:lineRule="auto"/>
        <w:ind w:left="0"/>
        <w:rPr>
          <w:i/>
          <w:iCs/>
          <w:sz w:val="24"/>
          <w:szCs w:val="24"/>
        </w:rPr>
      </w:pPr>
    </w:p>
    <w:p w14:paraId="64F93721" w14:textId="77777777" w:rsidR="00E3678E" w:rsidRDefault="00E3678E" w:rsidP="00A37C1D">
      <w:pPr>
        <w:pStyle w:val="Heading2"/>
        <w:spacing w:before="0" w:after="120" w:line="240" w:lineRule="auto"/>
        <w:ind w:left="0"/>
        <w:rPr>
          <w:i/>
          <w:iCs/>
          <w:sz w:val="24"/>
          <w:szCs w:val="24"/>
        </w:rPr>
      </w:pPr>
    </w:p>
    <w:p w14:paraId="64365E5B" w14:textId="77777777" w:rsidR="00576209" w:rsidRDefault="00576209" w:rsidP="00576209">
      <w:pPr>
        <w:ind w:left="0" w:firstLine="0"/>
      </w:pPr>
    </w:p>
    <w:p w14:paraId="583D6CDA" w14:textId="77777777" w:rsidR="00576209" w:rsidRDefault="00576209" w:rsidP="00576209">
      <w:pPr>
        <w:ind w:left="0" w:firstLine="0"/>
      </w:pPr>
    </w:p>
    <w:p w14:paraId="739E4D2B" w14:textId="77777777" w:rsidR="00576209" w:rsidRDefault="00576209" w:rsidP="00576209">
      <w:pPr>
        <w:ind w:left="0" w:firstLine="0"/>
      </w:pPr>
    </w:p>
    <w:p w14:paraId="48CA4E71" w14:textId="2EDFAB6E" w:rsidR="00576209" w:rsidRPr="00576209" w:rsidRDefault="00576209" w:rsidP="00576209">
      <w:pPr>
        <w:ind w:left="0" w:firstLine="0"/>
        <w:sectPr w:rsidR="00576209" w:rsidRPr="00576209" w:rsidSect="007303B1">
          <w:headerReference w:type="default" r:id="rId9"/>
          <w:footerReference w:type="default" r:id="rId10"/>
          <w:footerReference w:type="first" r:id="rId11"/>
          <w:footnotePr>
            <w:pos w:val="beneathText"/>
          </w:footnotePr>
          <w:pgSz w:w="11906" w:h="16838" w:code="9"/>
          <w:pgMar w:top="1440" w:right="1440" w:bottom="1440" w:left="1701" w:header="720" w:footer="720" w:gutter="0"/>
          <w:cols w:space="720"/>
          <w:vAlign w:val="center"/>
          <w:docGrid w:linePitch="326"/>
        </w:sectPr>
      </w:pPr>
    </w:p>
    <w:p w14:paraId="0D2FF748" w14:textId="3F40EC38" w:rsidR="00E3678E" w:rsidRPr="00E3678E" w:rsidRDefault="00E3678E" w:rsidP="00576209">
      <w:pPr>
        <w:pStyle w:val="Heading10"/>
        <w:spacing w:after="120" w:line="240" w:lineRule="auto"/>
        <w:rPr>
          <w:lang w:val="en-AU"/>
        </w:rPr>
      </w:pPr>
      <w:r w:rsidRPr="00E3678E">
        <w:rPr>
          <w:lang w:val="en-AU"/>
        </w:rPr>
        <w:lastRenderedPageBreak/>
        <w:t>Handout 1: Questionnaire (includes guidance and instructions)</w:t>
      </w:r>
    </w:p>
    <w:p w14:paraId="042E4F30" w14:textId="77777777" w:rsidR="00E3678E" w:rsidRPr="00E3678E" w:rsidRDefault="00E3678E" w:rsidP="00576209">
      <w:pPr>
        <w:spacing w:after="120" w:line="240" w:lineRule="auto"/>
        <w:ind w:left="0" w:right="0" w:firstLine="0"/>
        <w:rPr>
          <w:rFonts w:asciiTheme="minorHAnsi" w:eastAsia="Times New Roman" w:hAnsiTheme="minorHAnsi" w:cstheme="minorHAnsi"/>
          <w:color w:val="auto"/>
          <w:szCs w:val="24"/>
          <w:lang w:val="en-AU"/>
        </w:rPr>
      </w:pPr>
      <w:r w:rsidRPr="00E3678E">
        <w:rPr>
          <w:rFonts w:asciiTheme="minorHAnsi" w:eastAsia="Times New Roman" w:hAnsiTheme="minorHAnsi" w:cstheme="minorHAnsi"/>
          <w:color w:val="auto"/>
          <w:szCs w:val="24"/>
          <w:lang w:val="en-AU"/>
        </w:rPr>
        <w:t xml:space="preserve">Please read each statement and tick the box that represents your level of agreement. When completed, total each section and refer to ‘Handout 2: Unpacking the myths’ for an evidence-based response to each statement. </w:t>
      </w:r>
    </w:p>
    <w:p w14:paraId="7FA0A998" w14:textId="77777777" w:rsidR="00E3678E" w:rsidRPr="00E3678E" w:rsidRDefault="00E3678E" w:rsidP="00576209">
      <w:pPr>
        <w:spacing w:after="120" w:line="240" w:lineRule="auto"/>
        <w:ind w:left="0" w:right="0" w:firstLine="0"/>
        <w:rPr>
          <w:rFonts w:asciiTheme="minorHAnsi" w:eastAsia="Times New Roman" w:hAnsiTheme="minorHAnsi" w:cstheme="minorHAnsi"/>
          <w:color w:val="auto"/>
          <w:szCs w:val="24"/>
          <w:lang w:val="en-AU"/>
        </w:rPr>
      </w:pPr>
      <w:r w:rsidRPr="00E3678E">
        <w:rPr>
          <w:rFonts w:asciiTheme="minorHAnsi" w:eastAsia="Times New Roman" w:hAnsiTheme="minorHAnsi" w:cstheme="minorHAnsi"/>
          <w:color w:val="auto"/>
          <w:szCs w:val="24"/>
          <w:lang w:val="en-AU"/>
        </w:rPr>
        <w:t xml:space="preserve">This is a way of developing a critical consciousness of your perception of students living with disability. Each of us has our history and way of viewing the world, which is often taken for granted and assumed as fact. However, our worldview is influenced by social and cultural factors and norms and is often limited by biases, stereotypes, and misconceptions. </w:t>
      </w:r>
    </w:p>
    <w:p w14:paraId="51971F28" w14:textId="503451D6" w:rsidR="00E3678E" w:rsidRDefault="00E3678E" w:rsidP="00576209">
      <w:pPr>
        <w:spacing w:after="120" w:line="240" w:lineRule="auto"/>
        <w:ind w:left="0" w:right="0" w:firstLine="0"/>
        <w:rPr>
          <w:rFonts w:asciiTheme="minorHAnsi" w:eastAsia="Times New Roman" w:hAnsiTheme="minorHAnsi" w:cstheme="minorHAnsi"/>
          <w:color w:val="auto"/>
          <w:szCs w:val="24"/>
          <w:lang w:val="en-AU"/>
        </w:rPr>
      </w:pPr>
      <w:r w:rsidRPr="00E3678E">
        <w:rPr>
          <w:rFonts w:asciiTheme="minorHAnsi" w:eastAsia="Times New Roman" w:hAnsiTheme="minorHAnsi" w:cstheme="minorHAnsi"/>
          <w:color w:val="auto"/>
          <w:szCs w:val="24"/>
          <w:lang w:val="en-AU"/>
        </w:rPr>
        <w:t>Your response to each question allows you to reflect on your values and beliefs regarding the education of students living with disability. As you work through these statements you may become aware of your own privilege and feel uncomfortable about the inequity</w:t>
      </w:r>
      <w:r w:rsidRPr="00E3678E">
        <w:rPr>
          <w:rFonts w:asciiTheme="minorHAnsi" w:eastAsia="Times New Roman" w:hAnsiTheme="minorHAnsi" w:cstheme="minorHAnsi"/>
          <w:b/>
          <w:color w:val="auto"/>
          <w:szCs w:val="24"/>
          <w:lang w:val="en-AU"/>
        </w:rPr>
        <w:t xml:space="preserve"> </w:t>
      </w:r>
      <w:r w:rsidRPr="00E3678E">
        <w:rPr>
          <w:rFonts w:asciiTheme="minorHAnsi" w:eastAsia="Times New Roman" w:hAnsiTheme="minorHAnsi" w:cstheme="minorHAnsi"/>
          <w:color w:val="auto"/>
          <w:szCs w:val="24"/>
          <w:lang w:val="en-AU"/>
        </w:rPr>
        <w:t xml:space="preserve">experienced by students living with disability. However, this activity is not designed to label people as ‘good’ or ‘bad’, but to acknowledge that everyone has been exposed to ableism. This is an opportunity to recognise and analyse cultural influences and assumptions and interrupt these in order to develop a vision for a socially-just, inclusive education system. </w:t>
      </w:r>
    </w:p>
    <w:p w14:paraId="02347103" w14:textId="30E033A4" w:rsidR="00576209" w:rsidRDefault="00576209" w:rsidP="00E3678E">
      <w:pPr>
        <w:spacing w:after="120" w:line="240" w:lineRule="auto"/>
        <w:ind w:left="0" w:right="0" w:firstLine="0"/>
        <w:rPr>
          <w:rFonts w:asciiTheme="minorHAnsi" w:eastAsia="Times New Roman" w:hAnsiTheme="minorHAnsi" w:cstheme="minorHAnsi"/>
          <w:color w:val="auto"/>
          <w:szCs w:val="24"/>
          <w:lang w:val="en-AU"/>
        </w:rPr>
      </w:pPr>
    </w:p>
    <w:p w14:paraId="2429F339" w14:textId="7864979D" w:rsidR="00576209" w:rsidRDefault="00576209" w:rsidP="00E3678E">
      <w:pPr>
        <w:spacing w:after="120" w:line="240" w:lineRule="auto"/>
        <w:ind w:left="0" w:right="0" w:firstLine="0"/>
        <w:rPr>
          <w:rFonts w:asciiTheme="minorHAnsi" w:eastAsia="Times New Roman" w:hAnsiTheme="minorHAnsi" w:cstheme="minorHAnsi"/>
          <w:color w:val="auto"/>
          <w:szCs w:val="24"/>
          <w:lang w:val="en-AU"/>
        </w:rPr>
      </w:pPr>
    </w:p>
    <w:p w14:paraId="46194DEF" w14:textId="77777777" w:rsidR="00576209" w:rsidRDefault="00576209" w:rsidP="00E3678E">
      <w:pPr>
        <w:spacing w:after="120" w:line="240" w:lineRule="auto"/>
        <w:ind w:left="0" w:right="0" w:firstLine="0"/>
        <w:rPr>
          <w:rFonts w:asciiTheme="minorHAnsi" w:eastAsia="Times New Roman" w:hAnsiTheme="minorHAnsi" w:cstheme="minorHAnsi"/>
          <w:color w:val="auto"/>
          <w:szCs w:val="24"/>
          <w:lang w:val="en-AU"/>
        </w:rPr>
      </w:pPr>
    </w:p>
    <w:p w14:paraId="763B27BA" w14:textId="56700228"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220F8E7A" w14:textId="49D99EE9"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3CB21A26" w14:textId="17A204EA"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3DA34812" w14:textId="3C10A3D2"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65697B7D" w14:textId="1AB36033"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6E7E4CAE" w14:textId="7E50AC56"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77F06CA1" w14:textId="5D845366"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38805416" w14:textId="2E269647"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195FE3CF" w14:textId="0EB330A7"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0B5E2FD8" w14:textId="375E1549"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2F63649E" w14:textId="1317C5BC"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120989F4" w14:textId="12FE0227"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35A54199" w14:textId="1FD26399"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6543B654" w14:textId="71B694DF"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047A1F7C" w14:textId="5C167DE2"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65E83CE3" w14:textId="1974BEFD" w:rsidR="0081132D" w:rsidRDefault="0081132D" w:rsidP="00E3678E">
      <w:pPr>
        <w:spacing w:after="120" w:line="240" w:lineRule="auto"/>
        <w:ind w:left="0" w:right="0" w:firstLine="0"/>
        <w:rPr>
          <w:rFonts w:asciiTheme="minorHAnsi" w:eastAsia="Times New Roman" w:hAnsiTheme="minorHAnsi" w:cstheme="minorHAnsi"/>
          <w:color w:val="auto"/>
          <w:szCs w:val="24"/>
          <w:lang w:val="en-AU"/>
        </w:rPr>
      </w:pPr>
    </w:p>
    <w:p w14:paraId="241817DA" w14:textId="77777777" w:rsidR="0081132D" w:rsidRDefault="0081132D" w:rsidP="0081132D">
      <w:pPr>
        <w:ind w:left="0" w:firstLine="0"/>
      </w:pPr>
      <w:r>
        <w:rPr>
          <w:b/>
        </w:rPr>
        <w:br w:type="page"/>
      </w:r>
    </w:p>
    <w:p w14:paraId="09BB4191" w14:textId="77777777" w:rsidR="0081132D" w:rsidRDefault="0081132D" w:rsidP="0081132D">
      <w:pPr>
        <w:pStyle w:val="Heading2"/>
        <w:spacing w:after="0"/>
        <w:sectPr w:rsidR="0081132D" w:rsidSect="0081132D">
          <w:footnotePr>
            <w:pos w:val="beneathText"/>
          </w:footnotePr>
          <w:pgSz w:w="11906" w:h="16838" w:code="9"/>
          <w:pgMar w:top="1077" w:right="1440" w:bottom="1077" w:left="1440" w:header="720" w:footer="720" w:gutter="0"/>
          <w:cols w:space="720"/>
          <w:vAlign w:val="center"/>
          <w:docGrid w:linePitch="326"/>
        </w:sectPr>
      </w:pPr>
    </w:p>
    <w:tbl>
      <w:tblPr>
        <w:tblStyle w:val="TableGrid"/>
        <w:tblW w:w="4690" w:type="pct"/>
        <w:tblLook w:val="04A0" w:firstRow="1" w:lastRow="0" w:firstColumn="1" w:lastColumn="0" w:noHBand="0" w:noVBand="1"/>
      </w:tblPr>
      <w:tblGrid>
        <w:gridCol w:w="5777"/>
        <w:gridCol w:w="1597"/>
        <w:gridCol w:w="1597"/>
        <w:gridCol w:w="1596"/>
        <w:gridCol w:w="1596"/>
        <w:gridCol w:w="1596"/>
      </w:tblGrid>
      <w:tr w:rsidR="0081132D" w:rsidRPr="00E3678E" w14:paraId="6C64BA10" w14:textId="77777777" w:rsidTr="0081132D">
        <w:trPr>
          <w:cantSplit/>
          <w:trHeight w:val="983"/>
          <w:tblHeader/>
        </w:trPr>
        <w:tc>
          <w:tcPr>
            <w:tcW w:w="2099" w:type="pct"/>
          </w:tcPr>
          <w:p w14:paraId="32CC91DB" w14:textId="7945E6FC" w:rsidR="0081132D" w:rsidRPr="00E3678E" w:rsidRDefault="0081132D" w:rsidP="00576209">
            <w:pPr>
              <w:pStyle w:val="Heading2"/>
              <w:spacing w:after="0"/>
            </w:pPr>
            <w:r w:rsidRPr="00E3678E">
              <w:lastRenderedPageBreak/>
              <w:t>Statements</w:t>
            </w:r>
          </w:p>
        </w:tc>
        <w:tc>
          <w:tcPr>
            <w:tcW w:w="580" w:type="pct"/>
          </w:tcPr>
          <w:p w14:paraId="6D044178" w14:textId="77777777" w:rsidR="0081132D" w:rsidRPr="00E3678E" w:rsidRDefault="0081132D" w:rsidP="00576209">
            <w:pPr>
              <w:pStyle w:val="Heading2"/>
              <w:spacing w:after="0"/>
            </w:pPr>
            <w:r w:rsidRPr="00E3678E">
              <w:t>Strongly</w:t>
            </w:r>
            <w:r w:rsidRPr="00E3678E">
              <w:br/>
              <w:t>Disagree</w:t>
            </w:r>
          </w:p>
        </w:tc>
        <w:tc>
          <w:tcPr>
            <w:tcW w:w="580" w:type="pct"/>
          </w:tcPr>
          <w:p w14:paraId="57507A4D" w14:textId="77777777" w:rsidR="0081132D" w:rsidRPr="00E3678E" w:rsidRDefault="0081132D" w:rsidP="00576209">
            <w:pPr>
              <w:pStyle w:val="Heading2"/>
              <w:spacing w:after="0"/>
            </w:pPr>
            <w:r w:rsidRPr="00E3678E">
              <w:t>Disagree</w:t>
            </w:r>
          </w:p>
        </w:tc>
        <w:tc>
          <w:tcPr>
            <w:tcW w:w="580" w:type="pct"/>
          </w:tcPr>
          <w:p w14:paraId="4570B06B" w14:textId="77777777" w:rsidR="0081132D" w:rsidRPr="00E3678E" w:rsidRDefault="0081132D" w:rsidP="00576209">
            <w:pPr>
              <w:pStyle w:val="Heading2"/>
              <w:spacing w:after="0"/>
            </w:pPr>
            <w:r w:rsidRPr="00E3678E">
              <w:t>Neutral</w:t>
            </w:r>
          </w:p>
        </w:tc>
        <w:tc>
          <w:tcPr>
            <w:tcW w:w="580" w:type="pct"/>
          </w:tcPr>
          <w:p w14:paraId="0F2CC78D" w14:textId="77777777" w:rsidR="0081132D" w:rsidRPr="00E3678E" w:rsidRDefault="0081132D" w:rsidP="00576209">
            <w:pPr>
              <w:pStyle w:val="Heading2"/>
              <w:spacing w:after="0"/>
            </w:pPr>
            <w:r w:rsidRPr="00E3678E">
              <w:t>Agree</w:t>
            </w:r>
          </w:p>
        </w:tc>
        <w:tc>
          <w:tcPr>
            <w:tcW w:w="580" w:type="pct"/>
          </w:tcPr>
          <w:p w14:paraId="43F0150F" w14:textId="77777777" w:rsidR="0081132D" w:rsidRPr="00E3678E" w:rsidRDefault="0081132D" w:rsidP="00576209">
            <w:pPr>
              <w:pStyle w:val="Heading2"/>
              <w:spacing w:after="0"/>
            </w:pPr>
            <w:r w:rsidRPr="00E3678E">
              <w:t xml:space="preserve">Strongly </w:t>
            </w:r>
            <w:r w:rsidRPr="00E3678E">
              <w:br/>
              <w:t>Agree</w:t>
            </w:r>
          </w:p>
        </w:tc>
      </w:tr>
      <w:tr w:rsidR="0081132D" w:rsidRPr="00E3678E" w14:paraId="51518600" w14:textId="77777777" w:rsidTr="0081132D">
        <w:tc>
          <w:tcPr>
            <w:tcW w:w="2099" w:type="pct"/>
          </w:tcPr>
          <w:p w14:paraId="72D63560" w14:textId="77777777"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Students with disability have little in common with students without disability.</w:t>
            </w:r>
          </w:p>
        </w:tc>
        <w:tc>
          <w:tcPr>
            <w:tcW w:w="580" w:type="pct"/>
          </w:tcPr>
          <w:p w14:paraId="1ECA9E63"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5E2AEED7"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301994C2"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606CAA78"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43D4AF2F"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81132D" w:rsidRPr="00E3678E" w14:paraId="3A076095" w14:textId="77777777" w:rsidTr="0081132D">
        <w:tc>
          <w:tcPr>
            <w:tcW w:w="2099" w:type="pct"/>
          </w:tcPr>
          <w:p w14:paraId="599F390B" w14:textId="77777777"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Students with intellectual disabilities receive a better education in ‘special schools’ or ‘special classes’.</w:t>
            </w:r>
          </w:p>
        </w:tc>
        <w:tc>
          <w:tcPr>
            <w:tcW w:w="580" w:type="pct"/>
          </w:tcPr>
          <w:p w14:paraId="4C5C494A"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0B74841D"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0FFCF30D"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7604FB22"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38233725"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81132D" w:rsidRPr="00E3678E" w14:paraId="14F37CAE" w14:textId="77777777" w:rsidTr="0081132D">
        <w:tc>
          <w:tcPr>
            <w:tcW w:w="2099" w:type="pct"/>
          </w:tcPr>
          <w:p w14:paraId="4E85F4F8" w14:textId="77777777"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The financial cost of making schools accessible is too high.</w:t>
            </w:r>
          </w:p>
        </w:tc>
        <w:tc>
          <w:tcPr>
            <w:tcW w:w="580" w:type="pct"/>
          </w:tcPr>
          <w:p w14:paraId="04139DD2"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7F9A3EF4"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5B6E0349"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2680F00C"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3B85BEBF"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81132D" w:rsidRPr="00E3678E" w14:paraId="209BE184" w14:textId="77777777" w:rsidTr="0081132D">
        <w:tc>
          <w:tcPr>
            <w:tcW w:w="2099" w:type="pct"/>
          </w:tcPr>
          <w:p w14:paraId="76DD3321" w14:textId="411631BF"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I feel sorry for students with disability.</w:t>
            </w:r>
            <w:r w:rsidRPr="0081132D">
              <w:rPr>
                <w:rFonts w:asciiTheme="minorHAnsi" w:eastAsia="Times New Roman" w:hAnsiTheme="minorHAnsi" w:cstheme="minorHAnsi"/>
                <w:color w:val="auto"/>
              </w:rPr>
              <w:br/>
            </w:r>
          </w:p>
        </w:tc>
        <w:tc>
          <w:tcPr>
            <w:tcW w:w="580" w:type="pct"/>
          </w:tcPr>
          <w:p w14:paraId="1EFF60D7"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4632E8A7"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2A1432A0"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63E6E370"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2BB02C2F"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81132D" w:rsidRPr="00E3678E" w14:paraId="4019D5F9" w14:textId="77777777" w:rsidTr="0081132D">
        <w:tc>
          <w:tcPr>
            <w:tcW w:w="2099" w:type="pct"/>
          </w:tcPr>
          <w:p w14:paraId="580E35B9" w14:textId="77777777"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Professionals know what is best for students with disability.</w:t>
            </w:r>
          </w:p>
        </w:tc>
        <w:tc>
          <w:tcPr>
            <w:tcW w:w="580" w:type="pct"/>
          </w:tcPr>
          <w:p w14:paraId="342FF1CB"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2E5BCEB1"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13151CE4"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2C022056"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689F3DFC"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81132D" w:rsidRPr="00E3678E" w14:paraId="1B197A4A" w14:textId="77777777" w:rsidTr="0081132D">
        <w:tc>
          <w:tcPr>
            <w:tcW w:w="2099" w:type="pct"/>
          </w:tcPr>
          <w:p w14:paraId="3D9B70DD" w14:textId="77777777"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Students with disabilities will not make friends in general education.</w:t>
            </w:r>
          </w:p>
        </w:tc>
        <w:tc>
          <w:tcPr>
            <w:tcW w:w="580" w:type="pct"/>
          </w:tcPr>
          <w:p w14:paraId="0F459DB6"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7CC01745"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7049AF32"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55D2F831"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1988405A"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81132D" w:rsidRPr="00E3678E" w14:paraId="22913F36" w14:textId="77777777" w:rsidTr="0081132D">
        <w:tc>
          <w:tcPr>
            <w:tcW w:w="2099" w:type="pct"/>
          </w:tcPr>
          <w:p w14:paraId="1893F2AA" w14:textId="77777777"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 xml:space="preserve">Inclusion has a negative impact on students without disabilities as their learning can be compromised by the presence of a student with disability. </w:t>
            </w:r>
          </w:p>
        </w:tc>
        <w:tc>
          <w:tcPr>
            <w:tcW w:w="580" w:type="pct"/>
          </w:tcPr>
          <w:p w14:paraId="7ED117D4"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368C296F"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3A1E6642"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3B45D123"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0074F96B"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81132D" w:rsidRPr="00E3678E" w14:paraId="5FD1EC1F" w14:textId="77777777" w:rsidTr="0081132D">
        <w:tc>
          <w:tcPr>
            <w:tcW w:w="2099" w:type="pct"/>
          </w:tcPr>
          <w:p w14:paraId="6A8C9206" w14:textId="7F340E97"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Inclusion is a fad that legitimises a marketplace for inclusive programs.</w:t>
            </w:r>
          </w:p>
        </w:tc>
        <w:tc>
          <w:tcPr>
            <w:tcW w:w="580" w:type="pct"/>
          </w:tcPr>
          <w:p w14:paraId="2DCAEBF6"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5CCB18E7"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76873C44"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3D20018D"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0FE85A03"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81132D" w:rsidRPr="00E3678E" w14:paraId="5E240E3D" w14:textId="77777777" w:rsidTr="0081132D">
        <w:tc>
          <w:tcPr>
            <w:tcW w:w="2099" w:type="pct"/>
          </w:tcPr>
          <w:p w14:paraId="5573992F" w14:textId="77777777"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Teachers do not have the skills to teach students with disability.</w:t>
            </w:r>
          </w:p>
        </w:tc>
        <w:tc>
          <w:tcPr>
            <w:tcW w:w="580" w:type="pct"/>
          </w:tcPr>
          <w:p w14:paraId="4EC8835B"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7D640762"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017C25D4"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12C3E6CC"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0079DD1B"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81132D" w:rsidRPr="00E3678E" w14:paraId="1FDD26F9" w14:textId="77777777" w:rsidTr="0081132D">
        <w:tc>
          <w:tcPr>
            <w:tcW w:w="2099" w:type="pct"/>
          </w:tcPr>
          <w:p w14:paraId="3491E100" w14:textId="77777777" w:rsidR="0081132D" w:rsidRPr="0081132D" w:rsidRDefault="0081132D" w:rsidP="00576209">
            <w:pPr>
              <w:pStyle w:val="ListParagraph"/>
              <w:numPr>
                <w:ilvl w:val="0"/>
                <w:numId w:val="16"/>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Students with disabilities will be bullied in general education settings.</w:t>
            </w:r>
          </w:p>
        </w:tc>
        <w:tc>
          <w:tcPr>
            <w:tcW w:w="580" w:type="pct"/>
          </w:tcPr>
          <w:p w14:paraId="5B71914B"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2EDFD159"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5B6F1AC6"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5062F6CB"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c>
          <w:tcPr>
            <w:tcW w:w="580" w:type="pct"/>
          </w:tcPr>
          <w:p w14:paraId="7FA2B3EA" w14:textId="77777777" w:rsidR="0081132D" w:rsidRPr="00E3678E" w:rsidRDefault="0081132D" w:rsidP="00576209">
            <w:pPr>
              <w:spacing w:after="0" w:line="240" w:lineRule="auto"/>
              <w:ind w:left="0" w:right="0" w:firstLine="0"/>
              <w:rPr>
                <w:rFonts w:asciiTheme="minorHAnsi" w:eastAsia="Times New Roman" w:hAnsiTheme="minorHAnsi" w:cstheme="minorHAnsi"/>
                <w:color w:val="auto"/>
              </w:rPr>
            </w:pPr>
          </w:p>
        </w:tc>
      </w:tr>
      <w:tr w:rsidR="00576209" w:rsidRPr="00E3678E" w14:paraId="31197E04" w14:textId="77777777" w:rsidTr="0081132D">
        <w:tc>
          <w:tcPr>
            <w:tcW w:w="2099" w:type="pct"/>
          </w:tcPr>
          <w:p w14:paraId="5D3E013F" w14:textId="173E4E0D" w:rsidR="00576209" w:rsidRPr="00576209" w:rsidRDefault="00576209" w:rsidP="00576209">
            <w:pPr>
              <w:pStyle w:val="Heading2"/>
            </w:pPr>
            <w:r w:rsidRPr="00576209">
              <w:t>What is your tally in each area?</w:t>
            </w:r>
          </w:p>
        </w:tc>
        <w:tc>
          <w:tcPr>
            <w:tcW w:w="580" w:type="pct"/>
          </w:tcPr>
          <w:p w14:paraId="2EC2C1A7" w14:textId="77777777" w:rsidR="00576209" w:rsidRPr="00E3678E" w:rsidRDefault="00576209" w:rsidP="00576209">
            <w:pPr>
              <w:pStyle w:val="Heading2"/>
            </w:pPr>
          </w:p>
        </w:tc>
        <w:tc>
          <w:tcPr>
            <w:tcW w:w="580" w:type="pct"/>
          </w:tcPr>
          <w:p w14:paraId="008BEF80" w14:textId="77777777" w:rsidR="00576209" w:rsidRPr="00E3678E" w:rsidRDefault="00576209" w:rsidP="00576209">
            <w:pPr>
              <w:pStyle w:val="Heading2"/>
            </w:pPr>
          </w:p>
        </w:tc>
        <w:tc>
          <w:tcPr>
            <w:tcW w:w="580" w:type="pct"/>
          </w:tcPr>
          <w:p w14:paraId="136FAE16" w14:textId="77777777" w:rsidR="00576209" w:rsidRPr="00E3678E" w:rsidRDefault="00576209" w:rsidP="00576209">
            <w:pPr>
              <w:pStyle w:val="Heading2"/>
            </w:pPr>
          </w:p>
        </w:tc>
        <w:tc>
          <w:tcPr>
            <w:tcW w:w="580" w:type="pct"/>
          </w:tcPr>
          <w:p w14:paraId="3E763864" w14:textId="77777777" w:rsidR="00576209" w:rsidRPr="00E3678E" w:rsidRDefault="00576209" w:rsidP="00576209">
            <w:pPr>
              <w:pStyle w:val="Heading2"/>
            </w:pPr>
          </w:p>
        </w:tc>
        <w:tc>
          <w:tcPr>
            <w:tcW w:w="580" w:type="pct"/>
          </w:tcPr>
          <w:p w14:paraId="585E34B9" w14:textId="77777777" w:rsidR="00576209" w:rsidRPr="00E3678E" w:rsidRDefault="00576209" w:rsidP="00576209">
            <w:pPr>
              <w:pStyle w:val="Heading2"/>
            </w:pPr>
          </w:p>
        </w:tc>
      </w:tr>
    </w:tbl>
    <w:p w14:paraId="166E335F" w14:textId="76699A85" w:rsidR="00E3678E" w:rsidRPr="0081132D" w:rsidRDefault="00E3678E" w:rsidP="0081132D">
      <w:pPr>
        <w:pStyle w:val="Heading2"/>
        <w:spacing w:before="0" w:after="120" w:line="240" w:lineRule="auto"/>
        <w:ind w:left="0" w:firstLine="0"/>
        <w:rPr>
          <w:rFonts w:asciiTheme="minorHAnsi" w:hAnsiTheme="minorHAnsi" w:cstheme="minorHAnsi"/>
          <w:i/>
          <w:iCs/>
          <w:sz w:val="24"/>
          <w:szCs w:val="24"/>
        </w:rPr>
        <w:sectPr w:rsidR="00E3678E" w:rsidRPr="0081132D" w:rsidSect="0081132D">
          <w:footnotePr>
            <w:pos w:val="beneathText"/>
          </w:footnotePr>
          <w:pgSz w:w="16838" w:h="11906" w:orient="landscape" w:code="9"/>
          <w:pgMar w:top="1440" w:right="1080" w:bottom="1440" w:left="1080" w:header="720" w:footer="720" w:gutter="0"/>
          <w:cols w:space="720"/>
          <w:vAlign w:val="center"/>
          <w:docGrid w:linePitch="326"/>
        </w:sectPr>
      </w:pPr>
    </w:p>
    <w:p w14:paraId="39FB836B" w14:textId="77777777" w:rsidR="0029353C" w:rsidRPr="0029353C" w:rsidRDefault="0029353C" w:rsidP="0081132D">
      <w:pPr>
        <w:pStyle w:val="Heading10"/>
        <w:spacing w:after="120" w:line="240" w:lineRule="auto"/>
        <w:rPr>
          <w:lang w:val="en-AU"/>
        </w:rPr>
      </w:pPr>
      <w:r w:rsidRPr="0029353C">
        <w:rPr>
          <w:lang w:val="en-AU"/>
        </w:rPr>
        <w:lastRenderedPageBreak/>
        <w:t>Handout 2: Unpacking the myths</w:t>
      </w:r>
    </w:p>
    <w:p w14:paraId="4D651E0F" w14:textId="0E7B71F9" w:rsidR="0081132D" w:rsidRDefault="0029353C" w:rsidP="0081132D">
      <w:pPr>
        <w:spacing w:after="120" w:line="240" w:lineRule="auto"/>
        <w:ind w:left="0" w:right="0" w:firstLine="0"/>
        <w:rPr>
          <w:rFonts w:asciiTheme="minorHAnsi" w:eastAsia="Times New Roman" w:hAnsiTheme="minorHAnsi" w:cstheme="minorHAnsi"/>
          <w:color w:val="auto"/>
          <w:szCs w:val="24"/>
          <w:lang w:val="en-AU"/>
        </w:rPr>
      </w:pPr>
      <w:r w:rsidRPr="0029353C">
        <w:rPr>
          <w:rFonts w:asciiTheme="minorHAnsi" w:eastAsia="Times New Roman" w:hAnsiTheme="minorHAnsi" w:cstheme="minorHAnsi"/>
          <w:color w:val="auto"/>
          <w:szCs w:val="24"/>
          <w:lang w:val="en-AU"/>
        </w:rPr>
        <w:t>If most of these questions were answered in the ‘strongly disagree’ or ‘disagree’ category, you are drawing on a Social Model of Disability to make sense of the world around you.  It is likely that you view disability as a social problem rather than an intrinsic issue. If your answers were largely in the ‘agree’ or ‘strongly agree’ areas, this suggests you are probably viewing the world through the Medical Model of Disability.  This doesn’t make you a bad person, but, like many people in society, it may mean you are carrying misconceptions and stereotypical beliefs about the education of students living with disability, and which you will need to address to strengthen your capacity to teach a diverse classroom.</w:t>
      </w:r>
      <w:r w:rsidR="0081132D">
        <w:rPr>
          <w:rFonts w:asciiTheme="minorHAnsi" w:eastAsia="Times New Roman" w:hAnsiTheme="minorHAnsi" w:cstheme="minorHAnsi"/>
          <w:color w:val="auto"/>
          <w:szCs w:val="24"/>
          <w:lang w:val="en-AU"/>
        </w:rPr>
        <w:t xml:space="preserve"> </w:t>
      </w:r>
    </w:p>
    <w:p w14:paraId="30D0265D" w14:textId="77777777" w:rsidR="00576209" w:rsidRDefault="00576209" w:rsidP="0081132D">
      <w:pPr>
        <w:spacing w:after="120" w:line="240" w:lineRule="auto"/>
        <w:ind w:left="0" w:right="0" w:firstLine="0"/>
        <w:rPr>
          <w:rFonts w:asciiTheme="minorHAnsi" w:eastAsia="Times New Roman" w:hAnsiTheme="minorHAnsi" w:cstheme="minorHAnsi"/>
          <w:color w:val="auto"/>
          <w:szCs w:val="24"/>
          <w:lang w:val="en-AU"/>
        </w:rPr>
      </w:pPr>
    </w:p>
    <w:p w14:paraId="65FB2FBC" w14:textId="64E8ADEC" w:rsidR="0029353C" w:rsidRPr="0029353C" w:rsidRDefault="0029353C" w:rsidP="0081132D">
      <w:pPr>
        <w:spacing w:after="120" w:line="240" w:lineRule="auto"/>
        <w:ind w:left="0" w:right="0" w:firstLine="0"/>
        <w:rPr>
          <w:rFonts w:asciiTheme="minorHAnsi" w:eastAsia="Times New Roman" w:hAnsiTheme="minorHAnsi" w:cstheme="minorHAnsi"/>
          <w:color w:val="auto"/>
          <w:szCs w:val="24"/>
          <w:lang w:val="en-AU"/>
        </w:rPr>
      </w:pPr>
      <w:r w:rsidRPr="0029353C">
        <w:rPr>
          <w:rFonts w:asciiTheme="minorHAnsi" w:eastAsia="Times New Roman" w:hAnsiTheme="minorHAnsi" w:cstheme="minorHAnsi"/>
          <w:color w:val="auto"/>
          <w:szCs w:val="24"/>
          <w:lang w:val="en-AU"/>
        </w:rPr>
        <w:t xml:space="preserve">Below you will find responses to the statements in the questionnaire based on the current research: </w:t>
      </w:r>
    </w:p>
    <w:tbl>
      <w:tblPr>
        <w:tblStyle w:val="TableGrid1"/>
        <w:tblW w:w="0" w:type="auto"/>
        <w:tblLook w:val="04A0" w:firstRow="1" w:lastRow="0" w:firstColumn="1" w:lastColumn="0" w:noHBand="0" w:noVBand="1"/>
      </w:tblPr>
      <w:tblGrid>
        <w:gridCol w:w="8755"/>
      </w:tblGrid>
      <w:tr w:rsidR="0081132D" w:rsidRPr="0029353C" w14:paraId="40540925" w14:textId="77777777" w:rsidTr="0081132D">
        <w:trPr>
          <w:tblHeader/>
        </w:trPr>
        <w:tc>
          <w:tcPr>
            <w:tcW w:w="0" w:type="auto"/>
          </w:tcPr>
          <w:p w14:paraId="28D2F6D5" w14:textId="77777777" w:rsidR="0081132D" w:rsidRPr="0029353C" w:rsidRDefault="0081132D" w:rsidP="0081132D">
            <w:pPr>
              <w:pStyle w:val="Heading2"/>
              <w:spacing w:after="0"/>
            </w:pPr>
            <w:r w:rsidRPr="0029353C">
              <w:t>Factual Statements</w:t>
            </w:r>
          </w:p>
        </w:tc>
      </w:tr>
      <w:tr w:rsidR="0081132D" w:rsidRPr="0029353C" w14:paraId="7EC0A534" w14:textId="77777777" w:rsidTr="0081132D">
        <w:tc>
          <w:tcPr>
            <w:tcW w:w="0" w:type="auto"/>
          </w:tcPr>
          <w:p w14:paraId="6CF499E4"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Students with disability and those without disabilities have far more in common than their differences. When an undue focus is placed on difference, the many attributes that students have in common tends to be overlooked.</w:t>
            </w:r>
          </w:p>
        </w:tc>
      </w:tr>
      <w:tr w:rsidR="0081132D" w:rsidRPr="0029353C" w14:paraId="5E205CED" w14:textId="77777777" w:rsidTr="0081132D">
        <w:tc>
          <w:tcPr>
            <w:tcW w:w="0" w:type="auto"/>
          </w:tcPr>
          <w:p w14:paraId="6074063E"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Evidence-based research indicates that students with disability have improved academic and social outcomes through an inclusive approach.</w:t>
            </w:r>
          </w:p>
        </w:tc>
      </w:tr>
      <w:tr w:rsidR="0081132D" w:rsidRPr="0029353C" w14:paraId="7CD6AC01" w14:textId="77777777" w:rsidTr="0081132D">
        <w:tc>
          <w:tcPr>
            <w:tcW w:w="0" w:type="auto"/>
          </w:tcPr>
          <w:p w14:paraId="1B2F337B"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 xml:space="preserve">It is a myth that inclusion has a high financial cost. In reality, segregated education fails to utilise resources efficiently by asking students to fit into what is already prepared but may not meet their needs. Instead, inclusive practice redirects resources to students in a cost-effective manner. </w:t>
            </w:r>
          </w:p>
        </w:tc>
      </w:tr>
      <w:tr w:rsidR="0081132D" w:rsidRPr="0029353C" w14:paraId="50A5791B" w14:textId="77777777" w:rsidTr="0081132D">
        <w:tc>
          <w:tcPr>
            <w:tcW w:w="0" w:type="auto"/>
          </w:tcPr>
          <w:p w14:paraId="364D5AE9"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Many students with disability find their disability identity offers self-worth and dignity and they reject the notion of pity.</w:t>
            </w:r>
          </w:p>
        </w:tc>
      </w:tr>
      <w:tr w:rsidR="0081132D" w:rsidRPr="0029353C" w14:paraId="199C631F" w14:textId="77777777" w:rsidTr="0081132D">
        <w:tc>
          <w:tcPr>
            <w:tcW w:w="0" w:type="auto"/>
          </w:tcPr>
          <w:p w14:paraId="365C9A68"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 xml:space="preserve">Professional knowledge is helpful for students with disabilities, but when it is delivered without acknowledgement of the expertise of the person, issues of power enter the relationship. </w:t>
            </w:r>
          </w:p>
        </w:tc>
      </w:tr>
      <w:tr w:rsidR="0081132D" w:rsidRPr="0029353C" w14:paraId="2E829FC3" w14:textId="77777777" w:rsidTr="0081132D">
        <w:tc>
          <w:tcPr>
            <w:tcW w:w="0" w:type="auto"/>
          </w:tcPr>
          <w:p w14:paraId="73D0DB86"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 xml:space="preserve">It can be challenging for students with disability to make friends, but this is not due to intrinsic qualities within the student, it is due to an environment that does not facilitate friendships. </w:t>
            </w:r>
          </w:p>
        </w:tc>
      </w:tr>
      <w:tr w:rsidR="0081132D" w:rsidRPr="0029353C" w14:paraId="44A3C3DD" w14:textId="77777777" w:rsidTr="0081132D">
        <w:tc>
          <w:tcPr>
            <w:tcW w:w="0" w:type="auto"/>
          </w:tcPr>
          <w:p w14:paraId="4BE25355"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All students have improved outcomes in inclusive settings.</w:t>
            </w:r>
          </w:p>
        </w:tc>
      </w:tr>
      <w:tr w:rsidR="0081132D" w:rsidRPr="0029353C" w14:paraId="26B160D3" w14:textId="77777777" w:rsidTr="0081132D">
        <w:tc>
          <w:tcPr>
            <w:tcW w:w="0" w:type="auto"/>
          </w:tcPr>
          <w:p w14:paraId="144B4561"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 xml:space="preserve">The opposite is true. There is a thriving marketplace based on therapies and rehabilitation of disability that is fuelled by the misguided belief that segregated education is effective. </w:t>
            </w:r>
          </w:p>
        </w:tc>
      </w:tr>
      <w:tr w:rsidR="0081132D" w:rsidRPr="0029353C" w14:paraId="07339BE2" w14:textId="77777777" w:rsidTr="0081132D">
        <w:tc>
          <w:tcPr>
            <w:tcW w:w="0" w:type="auto"/>
          </w:tcPr>
          <w:p w14:paraId="041726AE"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All teachers have the skills to teach all students, you do not require a degree in special education to be an effective educator. However, teachers should be supported to cater for diversity in their classrooms.</w:t>
            </w:r>
          </w:p>
        </w:tc>
      </w:tr>
      <w:tr w:rsidR="0081132D" w:rsidRPr="0029353C" w14:paraId="5006B681" w14:textId="77777777" w:rsidTr="0081132D">
        <w:tc>
          <w:tcPr>
            <w:tcW w:w="0" w:type="auto"/>
          </w:tcPr>
          <w:p w14:paraId="4BD1F091" w14:textId="77777777" w:rsidR="0081132D" w:rsidRPr="0081132D" w:rsidRDefault="0081132D" w:rsidP="0081132D">
            <w:pPr>
              <w:pStyle w:val="ListParagraph"/>
              <w:numPr>
                <w:ilvl w:val="0"/>
                <w:numId w:val="17"/>
              </w:numPr>
              <w:spacing w:after="0" w:line="240" w:lineRule="auto"/>
              <w:ind w:right="0"/>
              <w:rPr>
                <w:rFonts w:asciiTheme="minorHAnsi" w:eastAsia="Times New Roman" w:hAnsiTheme="minorHAnsi" w:cstheme="minorHAnsi"/>
                <w:color w:val="auto"/>
              </w:rPr>
            </w:pPr>
            <w:r w:rsidRPr="0081132D">
              <w:rPr>
                <w:rFonts w:asciiTheme="minorHAnsi" w:eastAsia="Times New Roman" w:hAnsiTheme="minorHAnsi" w:cstheme="minorHAnsi"/>
                <w:color w:val="auto"/>
              </w:rPr>
              <w:t>There is a myth that segregated contexts are safer for students with disability. However, research indicates that bullying occurs in segregated as well as general education settings.</w:t>
            </w:r>
          </w:p>
        </w:tc>
      </w:tr>
    </w:tbl>
    <w:p w14:paraId="5FADAA74" w14:textId="77777777" w:rsidR="0081132D" w:rsidRDefault="0081132D" w:rsidP="00A37C1D">
      <w:pPr>
        <w:pStyle w:val="Heading2"/>
        <w:spacing w:before="0" w:after="120" w:line="240" w:lineRule="auto"/>
        <w:ind w:left="0"/>
        <w:rPr>
          <w:i/>
          <w:iCs/>
          <w:sz w:val="24"/>
          <w:szCs w:val="24"/>
        </w:rPr>
      </w:pPr>
    </w:p>
    <w:p w14:paraId="1D6D7C20" w14:textId="77777777" w:rsidR="0081132D" w:rsidRDefault="0081132D">
      <w:pPr>
        <w:spacing w:after="160" w:line="259" w:lineRule="auto"/>
        <w:ind w:left="0" w:right="0" w:firstLine="0"/>
        <w:rPr>
          <w:rFonts w:ascii="Calibri" w:eastAsia="Calibri" w:hAnsi="Calibri" w:cs="Calibri"/>
          <w:b/>
          <w:i/>
          <w:iCs/>
          <w:noProof/>
          <w:color w:val="519B4B"/>
          <w:w w:val="105"/>
          <w:szCs w:val="24"/>
        </w:rPr>
      </w:pPr>
      <w:r>
        <w:rPr>
          <w:i/>
          <w:iCs/>
          <w:szCs w:val="24"/>
        </w:rPr>
        <w:br w:type="page"/>
      </w:r>
    </w:p>
    <w:p w14:paraId="04D0B55E" w14:textId="2470FB82" w:rsidR="00BB63F3" w:rsidRPr="00BB63F3" w:rsidRDefault="00974EB9" w:rsidP="00576209">
      <w:pPr>
        <w:pStyle w:val="Heading2"/>
        <w:spacing w:before="0" w:after="120" w:line="240" w:lineRule="auto"/>
        <w:ind w:left="0"/>
        <w:rPr>
          <w:i/>
          <w:iCs/>
          <w:sz w:val="24"/>
          <w:szCs w:val="24"/>
        </w:rPr>
      </w:pPr>
      <w:r w:rsidRPr="00974EB9">
        <w:rPr>
          <w:i/>
          <w:iCs/>
          <w:sz w:val="24"/>
          <w:szCs w:val="24"/>
        </w:rPr>
        <w:lastRenderedPageBreak/>
        <w:t xml:space="preserve">How Can These Concepts </w:t>
      </w:r>
      <w:r>
        <w:rPr>
          <w:i/>
          <w:iCs/>
          <w:sz w:val="24"/>
          <w:szCs w:val="24"/>
        </w:rPr>
        <w:t>b</w:t>
      </w:r>
      <w:r w:rsidRPr="00974EB9">
        <w:rPr>
          <w:i/>
          <w:iCs/>
          <w:sz w:val="24"/>
          <w:szCs w:val="24"/>
        </w:rPr>
        <w:t xml:space="preserve">e Utilised </w:t>
      </w:r>
      <w:r>
        <w:rPr>
          <w:i/>
          <w:iCs/>
          <w:sz w:val="24"/>
          <w:szCs w:val="24"/>
        </w:rPr>
        <w:t>t</w:t>
      </w:r>
      <w:r w:rsidRPr="00974EB9">
        <w:rPr>
          <w:i/>
          <w:iCs/>
          <w:sz w:val="24"/>
          <w:szCs w:val="24"/>
        </w:rPr>
        <w:t xml:space="preserve">o Create </w:t>
      </w:r>
      <w:r>
        <w:rPr>
          <w:i/>
          <w:iCs/>
          <w:sz w:val="24"/>
          <w:szCs w:val="24"/>
        </w:rPr>
        <w:t>a</w:t>
      </w:r>
      <w:r w:rsidRPr="00974EB9">
        <w:rPr>
          <w:i/>
          <w:iCs/>
          <w:sz w:val="24"/>
          <w:szCs w:val="24"/>
        </w:rPr>
        <w:t xml:space="preserve"> Culture </w:t>
      </w:r>
      <w:r>
        <w:rPr>
          <w:i/>
          <w:iCs/>
          <w:sz w:val="24"/>
          <w:szCs w:val="24"/>
        </w:rPr>
        <w:t>o</w:t>
      </w:r>
      <w:r w:rsidRPr="00974EB9">
        <w:rPr>
          <w:i/>
          <w:iCs/>
          <w:sz w:val="24"/>
          <w:szCs w:val="24"/>
        </w:rPr>
        <w:t>f Inclusion?</w:t>
      </w:r>
    </w:p>
    <w:p w14:paraId="0D23354A" w14:textId="77777777" w:rsidR="00974EB9" w:rsidRPr="00974EB9" w:rsidRDefault="00974EB9" w:rsidP="00576209">
      <w:pPr>
        <w:spacing w:after="120" w:line="240" w:lineRule="auto"/>
        <w:ind w:left="0" w:right="0" w:firstLine="0"/>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This questionnaire is a starting point to develop an awareness of the unequal structures within society that are reflected within schools. Once this is acknowledged we can start to examine the unconscious attitudes that result in segregated education for students living with disability.</w:t>
      </w:r>
    </w:p>
    <w:p w14:paraId="1AC00704" w14:textId="77777777" w:rsidR="00974EB9" w:rsidRPr="00974EB9" w:rsidRDefault="00974EB9" w:rsidP="00576209">
      <w:pPr>
        <w:spacing w:after="120" w:line="240" w:lineRule="auto"/>
        <w:ind w:left="0" w:right="0" w:firstLine="0"/>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The Australian Professional Standards for Teachers, Standard 1.6 ‘Strategies to support full participation for students with disability’</w:t>
      </w:r>
      <w:r w:rsidRPr="00974EB9">
        <w:rPr>
          <w:rFonts w:asciiTheme="minorHAnsi" w:eastAsia="Times New Roman" w:hAnsiTheme="minorHAnsi" w:cstheme="minorHAnsi"/>
          <w:color w:val="auto"/>
          <w:szCs w:val="24"/>
          <w:vertAlign w:val="superscript"/>
          <w:lang w:val="en-AU"/>
        </w:rPr>
        <w:footnoteReference w:id="2"/>
      </w:r>
      <w:r w:rsidRPr="00974EB9">
        <w:rPr>
          <w:rFonts w:asciiTheme="minorHAnsi" w:eastAsia="Times New Roman" w:hAnsiTheme="minorHAnsi" w:cstheme="minorHAnsi"/>
          <w:color w:val="auto"/>
          <w:szCs w:val="24"/>
          <w:lang w:val="en-AU"/>
        </w:rPr>
        <w:t xml:space="preserve"> inform the application of concepts explored within this tool in a school context. The strategies for implementation of these concepts are interconnected with the strategies mentioned in the previous tools. Educators are encouraged to incorporate citizenship, self- determination and self-advocacy within the curricula to facilitate movement from a medical to social model, assisting the inclusion of students living with disability by providing choice and control.  </w:t>
      </w:r>
    </w:p>
    <w:p w14:paraId="53D9E198" w14:textId="77777777" w:rsidR="00974EB9" w:rsidRPr="00974EB9" w:rsidRDefault="00974EB9" w:rsidP="00576209">
      <w:pPr>
        <w:spacing w:after="120" w:line="240" w:lineRule="auto"/>
        <w:ind w:left="0" w:right="0" w:firstLine="0"/>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This requires educators to explicitly teach:</w:t>
      </w:r>
    </w:p>
    <w:p w14:paraId="68B06673" w14:textId="77777777" w:rsidR="00974EB9" w:rsidRPr="00974EB9" w:rsidRDefault="00974EB9" w:rsidP="00576209">
      <w:pPr>
        <w:numPr>
          <w:ilvl w:val="0"/>
          <w:numId w:val="14"/>
        </w:numPr>
        <w:spacing w:after="120" w:line="240" w:lineRule="auto"/>
        <w:ind w:right="0"/>
        <w:contextualSpacing/>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choice-making</w:t>
      </w:r>
    </w:p>
    <w:p w14:paraId="525728A3" w14:textId="77777777" w:rsidR="00974EB9" w:rsidRPr="00974EB9" w:rsidRDefault="00974EB9" w:rsidP="00576209">
      <w:pPr>
        <w:numPr>
          <w:ilvl w:val="0"/>
          <w:numId w:val="14"/>
        </w:numPr>
        <w:spacing w:after="120" w:line="240" w:lineRule="auto"/>
        <w:ind w:right="0"/>
        <w:contextualSpacing/>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problem-solving</w:t>
      </w:r>
    </w:p>
    <w:p w14:paraId="74BECD67" w14:textId="77777777" w:rsidR="00974EB9" w:rsidRPr="00974EB9" w:rsidRDefault="00974EB9" w:rsidP="00576209">
      <w:pPr>
        <w:numPr>
          <w:ilvl w:val="0"/>
          <w:numId w:val="14"/>
        </w:numPr>
        <w:spacing w:after="120" w:line="240" w:lineRule="auto"/>
        <w:ind w:right="0"/>
        <w:contextualSpacing/>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goal setting</w:t>
      </w:r>
    </w:p>
    <w:p w14:paraId="56DAE09A" w14:textId="77777777" w:rsidR="00974EB9" w:rsidRPr="00974EB9" w:rsidRDefault="00974EB9" w:rsidP="00576209">
      <w:pPr>
        <w:numPr>
          <w:ilvl w:val="0"/>
          <w:numId w:val="14"/>
        </w:numPr>
        <w:spacing w:after="120" w:line="240" w:lineRule="auto"/>
        <w:ind w:right="0"/>
        <w:contextualSpacing/>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 xml:space="preserve">leadership skills </w:t>
      </w:r>
    </w:p>
    <w:p w14:paraId="25E75B46" w14:textId="77777777" w:rsidR="00974EB9" w:rsidRPr="00974EB9" w:rsidRDefault="00974EB9" w:rsidP="00576209">
      <w:pPr>
        <w:numPr>
          <w:ilvl w:val="0"/>
          <w:numId w:val="14"/>
        </w:numPr>
        <w:spacing w:after="120" w:line="240" w:lineRule="auto"/>
        <w:ind w:right="0"/>
        <w:contextualSpacing/>
        <w:rPr>
          <w:rFonts w:asciiTheme="minorHAnsi" w:eastAsia="Times New Roman" w:hAnsiTheme="minorHAnsi" w:cstheme="minorHAnsi"/>
          <w:color w:val="auto"/>
          <w:szCs w:val="24"/>
          <w:lang w:val="en-AU"/>
        </w:rPr>
      </w:pPr>
      <w:r w:rsidRPr="00974EB9">
        <w:rPr>
          <w:rFonts w:asciiTheme="minorHAnsi" w:eastAsia="Times New Roman" w:hAnsiTheme="minorHAnsi" w:cstheme="minorHAnsi"/>
          <w:color w:val="auto"/>
          <w:szCs w:val="24"/>
          <w:lang w:val="en-AU"/>
        </w:rPr>
        <w:t>self-advocacy</w:t>
      </w:r>
    </w:p>
    <w:p w14:paraId="37A5526A" w14:textId="33702C0E" w:rsidR="00974EB9" w:rsidRDefault="00974EB9" w:rsidP="00576209">
      <w:pPr>
        <w:spacing w:after="120" w:line="240" w:lineRule="auto"/>
        <w:ind w:left="0" w:right="0" w:firstLine="0"/>
        <w:rPr>
          <w:rFonts w:asciiTheme="minorHAnsi" w:eastAsia="Times New Roman" w:hAnsiTheme="minorHAnsi" w:cstheme="minorHAnsi"/>
          <w:color w:val="555555"/>
          <w:szCs w:val="24"/>
          <w:shd w:val="clear" w:color="auto" w:fill="FFFFFF"/>
          <w:lang w:val="en-AU"/>
        </w:rPr>
      </w:pPr>
      <w:r w:rsidRPr="00974EB9">
        <w:rPr>
          <w:rFonts w:asciiTheme="minorHAnsi" w:eastAsia="Times New Roman" w:hAnsiTheme="minorHAnsi" w:cstheme="minorHAnsi"/>
          <w:color w:val="auto"/>
          <w:szCs w:val="24"/>
          <w:lang w:val="en-AU"/>
        </w:rPr>
        <w:t>Acquiring these skills is important for autonomy, independence, citizenship and belonging of all students and facilitating inclusion through access and full participation across school and community settings.</w:t>
      </w:r>
      <w:r w:rsidRPr="00974EB9">
        <w:rPr>
          <w:rFonts w:asciiTheme="minorHAnsi" w:eastAsia="Times New Roman" w:hAnsiTheme="minorHAnsi" w:cstheme="minorHAnsi"/>
          <w:color w:val="555555"/>
          <w:szCs w:val="24"/>
          <w:shd w:val="clear" w:color="auto" w:fill="FFFFFF"/>
          <w:lang w:val="en-AU"/>
        </w:rPr>
        <w:t xml:space="preserve"> </w:t>
      </w:r>
    </w:p>
    <w:p w14:paraId="244B8CFB" w14:textId="748F3696" w:rsidR="007303B1" w:rsidRPr="00BB63F3" w:rsidRDefault="007303B1" w:rsidP="00576209">
      <w:pPr>
        <w:spacing w:after="120" w:line="240" w:lineRule="auto"/>
        <w:ind w:left="0" w:right="0" w:firstLine="0"/>
        <w:rPr>
          <w:rFonts w:ascii="Calibri" w:eastAsia="Calibri" w:hAnsi="Calibri" w:cs="Calibri"/>
          <w:color w:val="auto"/>
          <w:szCs w:val="24"/>
          <w:lang w:val="en-AU"/>
        </w:rPr>
      </w:pPr>
    </w:p>
    <w:p w14:paraId="21464708" w14:textId="453F567D" w:rsidR="0057393D" w:rsidRDefault="007303B1" w:rsidP="00576209">
      <w:pPr>
        <w:pStyle w:val="Heading2"/>
        <w:spacing w:before="0" w:after="120" w:line="240" w:lineRule="auto"/>
        <w:ind w:left="0"/>
      </w:pPr>
      <w:bookmarkStart w:id="1" w:name="_Hlk26971751"/>
      <w:r>
        <w:t>M</w:t>
      </w:r>
      <w:r w:rsidR="00BB63F3" w:rsidRPr="00BB63F3">
        <w:t xml:space="preserve">ore </w:t>
      </w:r>
      <w:r>
        <w:t>I</w:t>
      </w:r>
      <w:r w:rsidR="00BB63F3" w:rsidRPr="00BB63F3">
        <w:t>nformation</w:t>
      </w:r>
    </w:p>
    <w:bookmarkEnd w:id="1"/>
    <w:p w14:paraId="6C18FA21" w14:textId="77777777" w:rsidR="004D6F2B" w:rsidRPr="001D6931" w:rsidRDefault="004D6F2B" w:rsidP="004D6F2B">
      <w:pPr>
        <w:spacing w:after="120" w:line="240" w:lineRule="auto"/>
        <w:ind w:left="0" w:right="0" w:firstLine="0"/>
        <w:rPr>
          <w:rFonts w:asciiTheme="minorHAnsi" w:eastAsia="Times New Roman" w:hAnsiTheme="minorHAnsi" w:cstheme="minorHAnsi"/>
          <w:color w:val="auto"/>
          <w:szCs w:val="24"/>
          <w:lang w:val="en-AU"/>
        </w:rPr>
      </w:pPr>
      <w:r w:rsidRPr="001D6931">
        <w:rPr>
          <w:rFonts w:asciiTheme="minorHAnsi" w:eastAsia="Times New Roman" w:hAnsiTheme="minorHAnsi" w:cstheme="minorHAnsi"/>
          <w:color w:val="auto"/>
          <w:szCs w:val="24"/>
          <w:lang w:val="en-AU"/>
        </w:rPr>
        <w:t xml:space="preserve">Article written by Founder and Director of Starting With Julius, Catia Malaquias ‘3 Myths of “Special Education” Thoughts for Parents’ </w:t>
      </w:r>
      <w:hyperlink r:id="rId12" w:history="1">
        <w:r w:rsidRPr="001D6931">
          <w:rPr>
            <w:rStyle w:val="Hyperlink"/>
            <w:rFonts w:asciiTheme="minorHAnsi" w:eastAsia="Times New Roman" w:hAnsiTheme="minorHAnsi" w:cstheme="minorHAnsi"/>
            <w:color w:val="auto"/>
            <w:szCs w:val="24"/>
            <w:u w:val="none"/>
            <w:lang w:val="en-AU"/>
          </w:rPr>
          <w:t>http://www.startingwithjulius.org.au/3-myths-of-special-education-thoughts-for-parents/</w:t>
        </w:r>
      </w:hyperlink>
      <w:r w:rsidRPr="001D6931">
        <w:rPr>
          <w:rFonts w:asciiTheme="minorHAnsi" w:eastAsia="Times New Roman" w:hAnsiTheme="minorHAnsi" w:cstheme="minorHAnsi"/>
          <w:color w:val="auto"/>
          <w:szCs w:val="24"/>
          <w:lang w:val="en-AU"/>
        </w:rPr>
        <w:t xml:space="preserve"> </w:t>
      </w:r>
    </w:p>
    <w:p w14:paraId="3644A5F2" w14:textId="77777777" w:rsidR="004D6F2B" w:rsidRPr="001D6931" w:rsidRDefault="004D6F2B" w:rsidP="004D6F2B">
      <w:pPr>
        <w:spacing w:after="120" w:line="240" w:lineRule="auto"/>
        <w:ind w:left="0" w:right="0" w:firstLine="0"/>
        <w:rPr>
          <w:rFonts w:asciiTheme="minorHAnsi" w:eastAsia="Times New Roman" w:hAnsiTheme="minorHAnsi" w:cstheme="minorHAnsi"/>
          <w:color w:val="auto"/>
          <w:szCs w:val="24"/>
          <w:lang w:val="en-AU"/>
        </w:rPr>
      </w:pPr>
      <w:r w:rsidRPr="001D6931">
        <w:rPr>
          <w:rFonts w:asciiTheme="minorHAnsi" w:eastAsia="Times New Roman" w:hAnsiTheme="minorHAnsi" w:cstheme="minorHAnsi"/>
          <w:color w:val="auto"/>
          <w:szCs w:val="24"/>
          <w:lang w:val="en-AU"/>
        </w:rPr>
        <w:t xml:space="preserve">Excerpt from Rosalyn Benjamin Darling’s book ‘Disability and identity: Negotiating self in a changing society’ examining disability and identity including the shifting forces that have shaped individual and societal understandings of ability and impairment across time </w:t>
      </w:r>
      <w:hyperlink r:id="rId13" w:history="1">
        <w:r w:rsidRPr="001D6931">
          <w:rPr>
            <w:rStyle w:val="Hyperlink"/>
            <w:rFonts w:asciiTheme="minorHAnsi" w:eastAsia="Times New Roman" w:hAnsiTheme="minorHAnsi" w:cstheme="minorHAnsi"/>
            <w:color w:val="auto"/>
            <w:szCs w:val="24"/>
            <w:u w:val="none"/>
            <w:lang w:val="en-AU"/>
          </w:rPr>
          <w:t>https://www.rienner.com/uploads/5d1270369d5c0.pdf</w:t>
        </w:r>
      </w:hyperlink>
      <w:r w:rsidRPr="001D6931">
        <w:rPr>
          <w:rFonts w:asciiTheme="minorHAnsi" w:eastAsia="Times New Roman" w:hAnsiTheme="minorHAnsi" w:cstheme="minorHAnsi"/>
          <w:color w:val="auto"/>
          <w:szCs w:val="24"/>
          <w:lang w:val="en-AU"/>
        </w:rPr>
        <w:t xml:space="preserve"> </w:t>
      </w:r>
    </w:p>
    <w:p w14:paraId="5456127F" w14:textId="77777777" w:rsidR="00974EB9" w:rsidRPr="001D6931" w:rsidRDefault="00974EB9" w:rsidP="00576209">
      <w:pPr>
        <w:spacing w:after="120" w:line="240" w:lineRule="auto"/>
        <w:ind w:left="0" w:right="0" w:firstLine="0"/>
        <w:rPr>
          <w:rFonts w:asciiTheme="minorHAnsi" w:eastAsia="Times New Roman" w:hAnsiTheme="minorHAnsi" w:cstheme="minorHAnsi"/>
          <w:color w:val="auto"/>
          <w:szCs w:val="24"/>
          <w:lang w:val="en-AU"/>
        </w:rPr>
      </w:pPr>
      <w:r w:rsidRPr="001D6931">
        <w:rPr>
          <w:rFonts w:asciiTheme="minorHAnsi" w:eastAsia="Times New Roman" w:hAnsiTheme="minorHAnsi" w:cstheme="minorHAnsi"/>
          <w:color w:val="auto"/>
          <w:szCs w:val="24"/>
          <w:lang w:val="en-AU"/>
        </w:rPr>
        <w:t xml:space="preserve">Ideas on implementing strategies in the classroom to develop students’ self-determination </w:t>
      </w:r>
      <w:hyperlink r:id="rId14" w:history="1">
        <w:r w:rsidRPr="001D6931">
          <w:rPr>
            <w:rFonts w:asciiTheme="minorHAnsi" w:eastAsia="Times New Roman" w:hAnsiTheme="minorHAnsi" w:cstheme="minorHAnsi"/>
            <w:color w:val="auto"/>
            <w:szCs w:val="24"/>
            <w:lang w:val="en-AU"/>
          </w:rPr>
          <w:t>https://www.researchgate.net/publication/315114089_Teachers'_views_of_student's_self-determination_and_citizenship_skills</w:t>
        </w:r>
      </w:hyperlink>
      <w:r w:rsidRPr="001D6931">
        <w:rPr>
          <w:rFonts w:asciiTheme="minorHAnsi" w:eastAsia="Times New Roman" w:hAnsiTheme="minorHAnsi" w:cstheme="minorHAnsi"/>
          <w:color w:val="auto"/>
          <w:szCs w:val="24"/>
          <w:lang w:val="en-AU"/>
        </w:rPr>
        <w:t xml:space="preserve"> </w:t>
      </w:r>
    </w:p>
    <w:p w14:paraId="45AD9841" w14:textId="40769DCC" w:rsidR="00576209" w:rsidRPr="001D6931" w:rsidRDefault="004D6F2B" w:rsidP="00576209">
      <w:pPr>
        <w:spacing w:after="120" w:line="240" w:lineRule="auto"/>
        <w:ind w:left="0" w:right="0" w:firstLine="0"/>
        <w:rPr>
          <w:rFonts w:asciiTheme="minorHAnsi" w:eastAsia="Times New Roman" w:hAnsiTheme="minorHAnsi" w:cstheme="minorHAnsi"/>
          <w:color w:val="auto"/>
          <w:szCs w:val="24"/>
          <w:lang w:val="en-AU"/>
        </w:rPr>
      </w:pPr>
      <w:r w:rsidRPr="001D6931">
        <w:rPr>
          <w:rFonts w:asciiTheme="minorHAnsi" w:eastAsia="Times New Roman" w:hAnsiTheme="minorHAnsi" w:cstheme="minorHAnsi"/>
          <w:color w:val="auto"/>
          <w:szCs w:val="24"/>
          <w:lang w:val="en-AU"/>
        </w:rPr>
        <w:t xml:space="preserve">School Inclusion – From Theory to Practice is an online platform created by inclusive educator and school leader, Loren Swancutt to share and unpack school-level design, </w:t>
      </w:r>
      <w:r w:rsidRPr="001D6931">
        <w:rPr>
          <w:rFonts w:asciiTheme="minorHAnsi" w:eastAsia="Times New Roman" w:hAnsiTheme="minorHAnsi" w:cstheme="minorHAnsi"/>
          <w:color w:val="auto"/>
          <w:szCs w:val="24"/>
          <w:lang w:val="en-AU"/>
        </w:rPr>
        <w:lastRenderedPageBreak/>
        <w:t>implementation and leadership processes that support the realisation of inclusive education in Australian schools and school systems.</w:t>
      </w:r>
      <w:r w:rsidRPr="001D6931">
        <w:rPr>
          <w:color w:val="auto"/>
        </w:rPr>
        <w:t xml:space="preserve"> </w:t>
      </w:r>
      <w:hyperlink r:id="rId15" w:history="1">
        <w:r w:rsidRPr="001D6931">
          <w:rPr>
            <w:rStyle w:val="Hyperlink"/>
            <w:rFonts w:asciiTheme="minorHAnsi" w:eastAsia="Times New Roman" w:hAnsiTheme="minorHAnsi" w:cstheme="minorHAnsi"/>
            <w:color w:val="auto"/>
            <w:szCs w:val="24"/>
            <w:u w:val="none"/>
            <w:lang w:val="en-AU"/>
          </w:rPr>
          <w:t>https://school-inclusion.com/</w:t>
        </w:r>
      </w:hyperlink>
      <w:r w:rsidRPr="001D6931">
        <w:rPr>
          <w:rFonts w:asciiTheme="minorHAnsi" w:eastAsia="Times New Roman" w:hAnsiTheme="minorHAnsi" w:cstheme="minorHAnsi"/>
          <w:color w:val="auto"/>
          <w:szCs w:val="24"/>
          <w:lang w:val="en-AU"/>
        </w:rPr>
        <w:t xml:space="preserve"> </w:t>
      </w:r>
    </w:p>
    <w:p w14:paraId="21906A76" w14:textId="77777777" w:rsidR="004D6F2B" w:rsidRPr="00974EB9" w:rsidRDefault="004D6F2B" w:rsidP="00576209">
      <w:pPr>
        <w:spacing w:after="120" w:line="240" w:lineRule="auto"/>
        <w:ind w:left="0" w:right="0" w:firstLine="0"/>
        <w:rPr>
          <w:rFonts w:asciiTheme="minorHAnsi" w:eastAsia="Times New Roman" w:hAnsiTheme="minorHAnsi" w:cstheme="minorHAnsi"/>
          <w:color w:val="auto"/>
          <w:szCs w:val="24"/>
          <w:lang w:val="en-AU"/>
        </w:rPr>
      </w:pPr>
    </w:p>
    <w:p w14:paraId="64BE939E" w14:textId="18853740" w:rsidR="0051346E" w:rsidRDefault="0051346E" w:rsidP="00576209">
      <w:pPr>
        <w:pStyle w:val="Heading2"/>
        <w:spacing w:before="0" w:after="120" w:line="240" w:lineRule="auto"/>
        <w:ind w:left="0" w:firstLine="0"/>
      </w:pPr>
      <w:r>
        <w:t xml:space="preserve">Acknowledgement </w:t>
      </w:r>
    </w:p>
    <w:p w14:paraId="16A5A5BB" w14:textId="04EAA380" w:rsidR="0051346E" w:rsidRPr="001D6931" w:rsidRDefault="0092468D" w:rsidP="00BE1124">
      <w:pPr>
        <w:spacing w:after="120" w:line="240" w:lineRule="auto"/>
        <w:ind w:left="0" w:right="0" w:firstLine="0"/>
        <w:rPr>
          <w:rFonts w:ascii="Calibri" w:eastAsia="Calibri" w:hAnsi="Calibri" w:cs="Calibri"/>
          <w:color w:val="auto"/>
          <w:szCs w:val="24"/>
          <w:lang w:val="en-AU"/>
        </w:rPr>
      </w:pPr>
      <w:r w:rsidRPr="001D6931">
        <w:rPr>
          <w:rFonts w:ascii="Calibri" w:eastAsia="Calibri" w:hAnsi="Calibri" w:cs="Calibri"/>
          <w:noProof/>
          <w:color w:val="auto"/>
          <w:szCs w:val="24"/>
          <w:lang w:val="en-AU"/>
        </w:rPr>
        <w:drawing>
          <wp:anchor distT="0" distB="0" distL="114300" distR="114300" simplePos="0" relativeHeight="251659264" behindDoc="1" locked="0" layoutInCell="1" allowOverlap="1" wp14:anchorId="5907ABB2" wp14:editId="53D370EE">
            <wp:simplePos x="0" y="0"/>
            <wp:positionH relativeFrom="margin">
              <wp:align>left</wp:align>
            </wp:positionH>
            <wp:positionV relativeFrom="paragraph">
              <wp:posOffset>12065</wp:posOffset>
            </wp:positionV>
            <wp:extent cx="1439545" cy="662305"/>
            <wp:effectExtent l="0" t="0" r="8255" b="4445"/>
            <wp:wrapTight wrapText="bothSides">
              <wp:wrapPolygon edited="0">
                <wp:start x="0" y="0"/>
                <wp:lineTo x="0" y="21124"/>
                <wp:lineTo x="21438" y="21124"/>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P logo cop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9545" cy="662305"/>
                    </a:xfrm>
                    <a:prstGeom prst="rect">
                      <a:avLst/>
                    </a:prstGeom>
                  </pic:spPr>
                </pic:pic>
              </a:graphicData>
            </a:graphic>
            <wp14:sizeRelH relativeFrom="page">
              <wp14:pctWidth>0</wp14:pctWidth>
            </wp14:sizeRelH>
            <wp14:sizeRelV relativeFrom="page">
              <wp14:pctHeight>0</wp14:pctHeight>
            </wp14:sizeRelV>
          </wp:anchor>
        </w:drawing>
      </w:r>
      <w:r w:rsidR="00BE1124" w:rsidRPr="001D6931">
        <w:rPr>
          <w:rFonts w:ascii="Calibri" w:eastAsia="Calibri" w:hAnsi="Calibri" w:cs="Calibri"/>
          <w:color w:val="auto"/>
          <w:szCs w:val="24"/>
          <w:lang w:val="en-AU"/>
        </w:rPr>
        <w:t>This tool was written by</w:t>
      </w:r>
      <w:r w:rsidR="0051346E" w:rsidRPr="001D6931">
        <w:rPr>
          <w:rFonts w:ascii="Calibri" w:eastAsia="Calibri" w:hAnsi="Calibri" w:cs="Calibri"/>
          <w:color w:val="auto"/>
          <w:szCs w:val="24"/>
          <w:lang w:val="en-AU"/>
        </w:rPr>
        <w:t xml:space="preserve"> Dr</w:t>
      </w:r>
      <w:r w:rsidR="00BE1124" w:rsidRPr="001D6931">
        <w:rPr>
          <w:rFonts w:ascii="Calibri" w:eastAsia="Calibri" w:hAnsi="Calibri" w:cs="Calibri"/>
          <w:color w:val="auto"/>
          <w:szCs w:val="24"/>
          <w:lang w:val="en-AU"/>
        </w:rPr>
        <w:t xml:space="preserve"> Leanne Longfellow</w:t>
      </w:r>
      <w:r w:rsidR="0051346E" w:rsidRPr="001D6931">
        <w:rPr>
          <w:rFonts w:ascii="Calibri" w:eastAsia="Calibri" w:hAnsi="Calibri" w:cs="Calibri"/>
          <w:color w:val="auto"/>
          <w:szCs w:val="24"/>
          <w:lang w:val="en-AU"/>
        </w:rPr>
        <w:t>, Director of Inclusive Education Planning</w:t>
      </w:r>
      <w:r w:rsidR="00BE1124" w:rsidRPr="001D6931">
        <w:rPr>
          <w:rFonts w:ascii="Calibri" w:eastAsia="Calibri" w:hAnsi="Calibri" w:cs="Calibri"/>
          <w:color w:val="auto"/>
          <w:szCs w:val="24"/>
          <w:lang w:val="en-AU"/>
        </w:rPr>
        <w:t xml:space="preserve"> </w:t>
      </w:r>
      <w:r w:rsidR="002F119C">
        <w:rPr>
          <w:rFonts w:ascii="Calibri" w:eastAsia="Calibri" w:hAnsi="Calibri" w:cs="Calibri"/>
          <w:color w:val="auto"/>
          <w:szCs w:val="24"/>
          <w:lang w:val="en-AU"/>
        </w:rPr>
        <w:t>and</w:t>
      </w:r>
      <w:bookmarkStart w:id="2" w:name="_GoBack"/>
      <w:bookmarkEnd w:id="2"/>
      <w:r w:rsidR="00BE1124" w:rsidRPr="001D6931">
        <w:rPr>
          <w:rFonts w:ascii="Calibri" w:eastAsia="Calibri" w:hAnsi="Calibri" w:cs="Calibri"/>
          <w:color w:val="auto"/>
          <w:szCs w:val="24"/>
          <w:lang w:val="en-AU"/>
        </w:rPr>
        <w:t xml:space="preserve"> edit</w:t>
      </w:r>
      <w:r w:rsidR="002F119C">
        <w:rPr>
          <w:rFonts w:ascii="Calibri" w:eastAsia="Calibri" w:hAnsi="Calibri" w:cs="Calibri"/>
          <w:color w:val="auto"/>
          <w:szCs w:val="24"/>
          <w:lang w:val="en-AU"/>
        </w:rPr>
        <w:t>ed</w:t>
      </w:r>
      <w:r w:rsidR="00BE1124" w:rsidRPr="001D6931">
        <w:rPr>
          <w:rFonts w:ascii="Calibri" w:eastAsia="Calibri" w:hAnsi="Calibri" w:cs="Calibri"/>
          <w:color w:val="auto"/>
          <w:szCs w:val="24"/>
          <w:lang w:val="en-AU"/>
        </w:rPr>
        <w:t xml:space="preserve"> by JFA Purple Orange.</w:t>
      </w:r>
    </w:p>
    <w:p w14:paraId="52E3EBE4" w14:textId="3C50F20E" w:rsidR="00BE1124" w:rsidRPr="001D6931" w:rsidRDefault="00BE1124" w:rsidP="00BE1124">
      <w:pPr>
        <w:spacing w:after="120" w:line="240" w:lineRule="auto"/>
        <w:ind w:left="0" w:right="0" w:firstLine="0"/>
        <w:rPr>
          <w:rStyle w:val="Hyperlink"/>
          <w:rFonts w:ascii="Calibri" w:eastAsia="Calibri" w:hAnsi="Calibri" w:cs="Calibri"/>
          <w:color w:val="auto"/>
          <w:szCs w:val="24"/>
          <w:u w:val="none"/>
          <w:lang w:val="en-AU"/>
        </w:rPr>
      </w:pPr>
      <w:r w:rsidRPr="001D6931">
        <w:rPr>
          <w:rFonts w:ascii="Calibri" w:eastAsia="Calibri" w:hAnsi="Calibri" w:cs="Calibri"/>
          <w:color w:val="auto"/>
          <w:szCs w:val="24"/>
          <w:lang w:val="en-AU"/>
        </w:rPr>
        <w:t xml:space="preserve">Leanne presents researched based professional learning to support teachers, assistants, other professionals and parents on inclusive practice </w:t>
      </w:r>
      <w:hyperlink r:id="rId17" w:history="1">
        <w:r w:rsidRPr="001D6931">
          <w:rPr>
            <w:rStyle w:val="Hyperlink"/>
            <w:rFonts w:ascii="Calibri" w:eastAsia="Calibri" w:hAnsi="Calibri" w:cs="Calibri"/>
            <w:color w:val="auto"/>
            <w:szCs w:val="24"/>
            <w:u w:val="none"/>
            <w:lang w:val="en-AU"/>
          </w:rPr>
          <w:t>https://inclusiveeducationplanning.com.au/</w:t>
        </w:r>
      </w:hyperlink>
    </w:p>
    <w:p w14:paraId="0862DDFA" w14:textId="53EA7FF5" w:rsidR="004D6F2B" w:rsidRDefault="004D6F2B" w:rsidP="00BE1124">
      <w:pPr>
        <w:spacing w:after="120" w:line="240" w:lineRule="auto"/>
        <w:ind w:left="0" w:right="0" w:firstLine="0"/>
        <w:rPr>
          <w:rStyle w:val="Hyperlink"/>
          <w:rFonts w:ascii="Calibri" w:eastAsia="Calibri" w:hAnsi="Calibri" w:cs="Calibri"/>
          <w:szCs w:val="24"/>
          <w:lang w:val="en-AU"/>
        </w:rPr>
      </w:pPr>
    </w:p>
    <w:p w14:paraId="663BC66C" w14:textId="1E381712" w:rsidR="004D6F2B" w:rsidRDefault="004D6F2B" w:rsidP="00BE1124">
      <w:pPr>
        <w:spacing w:after="120" w:line="240" w:lineRule="auto"/>
        <w:ind w:left="0" w:right="0" w:firstLine="0"/>
        <w:rPr>
          <w:rStyle w:val="Hyperlink"/>
          <w:rFonts w:ascii="Calibri" w:eastAsia="Calibri" w:hAnsi="Calibri" w:cs="Calibri"/>
          <w:szCs w:val="24"/>
          <w:lang w:val="en-AU"/>
        </w:rPr>
      </w:pPr>
    </w:p>
    <w:p w14:paraId="68D9CE5A" w14:textId="06CE311C" w:rsidR="004D6F2B" w:rsidRDefault="004D6F2B" w:rsidP="00BE1124">
      <w:pPr>
        <w:spacing w:after="120" w:line="240" w:lineRule="auto"/>
        <w:ind w:left="0" w:right="0" w:firstLine="0"/>
        <w:rPr>
          <w:rStyle w:val="Hyperlink"/>
          <w:rFonts w:ascii="Calibri" w:eastAsia="Calibri" w:hAnsi="Calibri" w:cs="Calibri"/>
          <w:szCs w:val="24"/>
          <w:lang w:val="en-AU"/>
        </w:rPr>
      </w:pPr>
    </w:p>
    <w:p w14:paraId="2F3EAD8E" w14:textId="1294E4C6" w:rsidR="004D6F2B" w:rsidRDefault="004D6F2B" w:rsidP="00BE1124">
      <w:pPr>
        <w:spacing w:after="120" w:line="240" w:lineRule="auto"/>
        <w:ind w:left="0" w:right="0" w:firstLine="0"/>
        <w:rPr>
          <w:rStyle w:val="Hyperlink"/>
          <w:rFonts w:ascii="Calibri" w:eastAsia="Calibri" w:hAnsi="Calibri" w:cs="Calibri"/>
          <w:szCs w:val="24"/>
          <w:lang w:val="en-AU"/>
        </w:rPr>
      </w:pPr>
    </w:p>
    <w:p w14:paraId="75193EA4" w14:textId="64851B0D" w:rsidR="004D6F2B" w:rsidRDefault="004D6F2B" w:rsidP="00BE1124">
      <w:pPr>
        <w:spacing w:after="120" w:line="240" w:lineRule="auto"/>
        <w:ind w:left="0" w:right="0" w:firstLine="0"/>
        <w:rPr>
          <w:rStyle w:val="Hyperlink"/>
          <w:rFonts w:ascii="Calibri" w:eastAsia="Calibri" w:hAnsi="Calibri" w:cs="Calibri"/>
          <w:szCs w:val="24"/>
          <w:lang w:val="en-AU"/>
        </w:rPr>
      </w:pPr>
    </w:p>
    <w:p w14:paraId="616BBD21" w14:textId="7D437B0B" w:rsidR="004D6F2B" w:rsidRDefault="004D6F2B" w:rsidP="00BE1124">
      <w:pPr>
        <w:spacing w:after="120" w:line="240" w:lineRule="auto"/>
        <w:ind w:left="0" w:right="0" w:firstLine="0"/>
        <w:rPr>
          <w:rStyle w:val="Hyperlink"/>
          <w:rFonts w:ascii="Calibri" w:eastAsia="Calibri" w:hAnsi="Calibri" w:cs="Calibri"/>
          <w:szCs w:val="24"/>
          <w:lang w:val="en-AU"/>
        </w:rPr>
      </w:pPr>
    </w:p>
    <w:p w14:paraId="20D44FF5" w14:textId="0C0C2055" w:rsidR="004D6F2B" w:rsidRDefault="004D6F2B" w:rsidP="00BE1124">
      <w:pPr>
        <w:spacing w:after="120" w:line="240" w:lineRule="auto"/>
        <w:ind w:left="0" w:right="0" w:firstLine="0"/>
        <w:rPr>
          <w:rStyle w:val="Hyperlink"/>
          <w:rFonts w:ascii="Calibri" w:eastAsia="Calibri" w:hAnsi="Calibri" w:cs="Calibri"/>
          <w:szCs w:val="24"/>
          <w:lang w:val="en-AU"/>
        </w:rPr>
      </w:pPr>
    </w:p>
    <w:p w14:paraId="1726CEB6" w14:textId="77777777" w:rsidR="004D6F2B" w:rsidRDefault="004D6F2B" w:rsidP="00BE1124">
      <w:pPr>
        <w:spacing w:after="120" w:line="240" w:lineRule="auto"/>
        <w:ind w:left="0" w:right="0" w:firstLine="0"/>
        <w:rPr>
          <w:rFonts w:ascii="Calibri" w:eastAsia="Calibri" w:hAnsi="Calibri" w:cs="Calibri"/>
          <w:color w:val="auto"/>
          <w:szCs w:val="24"/>
          <w:lang w:val="en-AU"/>
        </w:rPr>
      </w:pPr>
    </w:p>
    <w:p w14:paraId="257EBAB3" w14:textId="42E81BB8" w:rsidR="00BE1124" w:rsidRDefault="00BE1124" w:rsidP="00BE1124">
      <w:pPr>
        <w:spacing w:after="120" w:line="240" w:lineRule="auto"/>
        <w:ind w:left="0" w:right="0" w:firstLine="0"/>
        <w:rPr>
          <w:rFonts w:ascii="Calibri" w:eastAsia="Calibri" w:hAnsi="Calibri" w:cs="Calibri"/>
          <w:color w:val="auto"/>
          <w:szCs w:val="24"/>
          <w:lang w:val="en-AU"/>
        </w:rPr>
      </w:pPr>
    </w:p>
    <w:p w14:paraId="5D7C2966" w14:textId="7F4D19CC" w:rsidR="00974EB9" w:rsidRDefault="00974EB9" w:rsidP="00BE1124">
      <w:pPr>
        <w:spacing w:after="120" w:line="240" w:lineRule="auto"/>
        <w:ind w:left="0" w:right="0" w:firstLine="0"/>
        <w:rPr>
          <w:rFonts w:ascii="Calibri" w:eastAsia="Calibri" w:hAnsi="Calibri" w:cs="Calibri"/>
          <w:color w:val="auto"/>
          <w:szCs w:val="24"/>
          <w:lang w:val="en-AU"/>
        </w:rPr>
      </w:pPr>
    </w:p>
    <w:p w14:paraId="4BE3AEF4" w14:textId="78BBAC9D" w:rsidR="00974EB9" w:rsidRDefault="00974EB9" w:rsidP="00BE1124">
      <w:pPr>
        <w:spacing w:after="120" w:line="240" w:lineRule="auto"/>
        <w:ind w:left="0" w:right="0" w:firstLine="0"/>
        <w:rPr>
          <w:rFonts w:ascii="Calibri" w:eastAsia="Calibri" w:hAnsi="Calibri" w:cs="Calibri"/>
          <w:color w:val="auto"/>
          <w:szCs w:val="24"/>
          <w:lang w:val="en-AU"/>
        </w:rPr>
      </w:pPr>
    </w:p>
    <w:p w14:paraId="52DA0B67" w14:textId="11F45EBD" w:rsidR="00974EB9" w:rsidRDefault="00974EB9" w:rsidP="00BE1124">
      <w:pPr>
        <w:spacing w:after="120" w:line="240" w:lineRule="auto"/>
        <w:ind w:left="0" w:right="0" w:firstLine="0"/>
        <w:rPr>
          <w:rFonts w:ascii="Calibri" w:eastAsia="Calibri" w:hAnsi="Calibri" w:cs="Calibri"/>
          <w:color w:val="auto"/>
          <w:szCs w:val="24"/>
          <w:lang w:val="en-AU"/>
        </w:rPr>
      </w:pPr>
    </w:p>
    <w:p w14:paraId="66E336D9" w14:textId="35BC19E5" w:rsidR="00974EB9" w:rsidRDefault="00974EB9" w:rsidP="00BE1124">
      <w:pPr>
        <w:spacing w:after="120" w:line="240" w:lineRule="auto"/>
        <w:ind w:left="0" w:right="0" w:firstLine="0"/>
        <w:rPr>
          <w:rFonts w:ascii="Calibri" w:eastAsia="Calibri" w:hAnsi="Calibri" w:cs="Calibri"/>
          <w:color w:val="auto"/>
          <w:szCs w:val="24"/>
          <w:lang w:val="en-AU"/>
        </w:rPr>
      </w:pPr>
    </w:p>
    <w:p w14:paraId="0C3A31B9" w14:textId="2F923D48" w:rsidR="00974EB9" w:rsidRDefault="00974EB9" w:rsidP="00BE1124">
      <w:pPr>
        <w:spacing w:after="120" w:line="240" w:lineRule="auto"/>
        <w:ind w:left="0" w:right="0" w:firstLine="0"/>
        <w:rPr>
          <w:rFonts w:ascii="Calibri" w:eastAsia="Calibri" w:hAnsi="Calibri" w:cs="Calibri"/>
          <w:color w:val="auto"/>
          <w:szCs w:val="24"/>
          <w:lang w:val="en-AU"/>
        </w:rPr>
      </w:pPr>
    </w:p>
    <w:p w14:paraId="1845BA0B" w14:textId="45FEE507" w:rsidR="00974EB9" w:rsidRDefault="00974EB9" w:rsidP="00BE1124">
      <w:pPr>
        <w:spacing w:after="120" w:line="240" w:lineRule="auto"/>
        <w:ind w:left="0" w:right="0" w:firstLine="0"/>
        <w:rPr>
          <w:rFonts w:ascii="Calibri" w:eastAsia="Calibri" w:hAnsi="Calibri" w:cs="Calibri"/>
          <w:color w:val="auto"/>
          <w:szCs w:val="24"/>
          <w:lang w:val="en-AU"/>
        </w:rPr>
      </w:pPr>
    </w:p>
    <w:p w14:paraId="5EA51DC0" w14:textId="7F733147" w:rsidR="00974EB9" w:rsidRDefault="00974EB9" w:rsidP="00BE1124">
      <w:pPr>
        <w:spacing w:after="120" w:line="240" w:lineRule="auto"/>
        <w:ind w:left="0" w:right="0" w:firstLine="0"/>
        <w:rPr>
          <w:rFonts w:ascii="Calibri" w:eastAsia="Calibri" w:hAnsi="Calibri" w:cs="Calibri"/>
          <w:color w:val="auto"/>
          <w:szCs w:val="24"/>
          <w:lang w:val="en-AU"/>
        </w:rPr>
      </w:pPr>
    </w:p>
    <w:p w14:paraId="01366B88" w14:textId="1FC7E1E7" w:rsidR="00974EB9" w:rsidRDefault="00974EB9" w:rsidP="00BE1124">
      <w:pPr>
        <w:spacing w:after="120" w:line="240" w:lineRule="auto"/>
        <w:ind w:left="0" w:right="0" w:firstLine="0"/>
        <w:rPr>
          <w:rFonts w:ascii="Calibri" w:eastAsia="Calibri" w:hAnsi="Calibri" w:cs="Calibri"/>
          <w:color w:val="auto"/>
          <w:szCs w:val="24"/>
          <w:lang w:val="en-AU"/>
        </w:rPr>
      </w:pPr>
    </w:p>
    <w:p w14:paraId="523215D0" w14:textId="667BA90F" w:rsidR="00974EB9" w:rsidRDefault="00974EB9" w:rsidP="00BE1124">
      <w:pPr>
        <w:spacing w:after="120" w:line="240" w:lineRule="auto"/>
        <w:ind w:left="0" w:right="0" w:firstLine="0"/>
        <w:rPr>
          <w:rFonts w:ascii="Calibri" w:eastAsia="Calibri" w:hAnsi="Calibri" w:cs="Calibri"/>
          <w:color w:val="auto"/>
          <w:szCs w:val="24"/>
          <w:lang w:val="en-AU"/>
        </w:rPr>
      </w:pPr>
    </w:p>
    <w:p w14:paraId="31119A8A" w14:textId="0B625DCD" w:rsidR="00974EB9" w:rsidRDefault="00974EB9" w:rsidP="00BE1124">
      <w:pPr>
        <w:spacing w:after="120" w:line="240" w:lineRule="auto"/>
        <w:ind w:left="0" w:right="0" w:firstLine="0"/>
        <w:rPr>
          <w:rFonts w:ascii="Calibri" w:eastAsia="Calibri" w:hAnsi="Calibri" w:cs="Calibri"/>
          <w:color w:val="auto"/>
          <w:szCs w:val="24"/>
          <w:lang w:val="en-AU"/>
        </w:rPr>
      </w:pPr>
    </w:p>
    <w:p w14:paraId="57B547C1" w14:textId="608E9F7D" w:rsidR="00974EB9" w:rsidRDefault="00974EB9" w:rsidP="00BE1124">
      <w:pPr>
        <w:spacing w:after="120" w:line="240" w:lineRule="auto"/>
        <w:ind w:left="0" w:right="0" w:firstLine="0"/>
        <w:rPr>
          <w:rFonts w:ascii="Calibri" w:eastAsia="Calibri" w:hAnsi="Calibri" w:cs="Calibri"/>
          <w:color w:val="auto"/>
          <w:szCs w:val="24"/>
          <w:lang w:val="en-AU"/>
        </w:rPr>
      </w:pPr>
    </w:p>
    <w:p w14:paraId="032577B5" w14:textId="4F6E077C" w:rsidR="00974EB9" w:rsidRDefault="00974EB9" w:rsidP="00BE1124">
      <w:pPr>
        <w:spacing w:after="120" w:line="240" w:lineRule="auto"/>
        <w:ind w:left="0" w:right="0" w:firstLine="0"/>
        <w:rPr>
          <w:rFonts w:ascii="Calibri" w:eastAsia="Calibri" w:hAnsi="Calibri" w:cs="Calibri"/>
          <w:color w:val="auto"/>
          <w:szCs w:val="24"/>
          <w:lang w:val="en-AU"/>
        </w:rPr>
      </w:pPr>
    </w:p>
    <w:p w14:paraId="4B220ABF" w14:textId="7403250A" w:rsidR="00974EB9" w:rsidRDefault="00974EB9" w:rsidP="00BE1124">
      <w:pPr>
        <w:spacing w:after="120" w:line="240" w:lineRule="auto"/>
        <w:ind w:left="0" w:right="0" w:firstLine="0"/>
        <w:rPr>
          <w:rFonts w:ascii="Calibri" w:eastAsia="Calibri" w:hAnsi="Calibri" w:cs="Calibri"/>
          <w:color w:val="auto"/>
          <w:szCs w:val="24"/>
          <w:lang w:val="en-AU"/>
        </w:rPr>
      </w:pPr>
    </w:p>
    <w:p w14:paraId="57474EA5" w14:textId="767717E4" w:rsidR="00974EB9" w:rsidRPr="00BE1124" w:rsidRDefault="004D6F2B" w:rsidP="004D6F2B">
      <w:pPr>
        <w:spacing w:after="120" w:line="240" w:lineRule="auto"/>
        <w:ind w:left="0" w:right="0" w:firstLine="0"/>
        <w:jc w:val="right"/>
        <w:rPr>
          <w:rFonts w:ascii="Calibri" w:eastAsia="Calibri" w:hAnsi="Calibri" w:cs="Calibri"/>
          <w:color w:val="auto"/>
          <w:szCs w:val="24"/>
          <w:lang w:val="en-AU"/>
        </w:rPr>
      </w:pPr>
      <w:r>
        <w:rPr>
          <w:rFonts w:ascii="Calibri" w:eastAsia="Calibri" w:hAnsi="Calibri" w:cs="Calibri"/>
          <w:noProof/>
          <w:color w:val="auto"/>
          <w:szCs w:val="24"/>
          <w:lang w:val="en-AU"/>
        </w:rPr>
        <w:drawing>
          <wp:inline distT="0" distB="0" distL="0" distR="0" wp14:anchorId="309E2E95" wp14:editId="3F45D9C7">
            <wp:extent cx="2188845" cy="8413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974EB9" w:rsidRPr="00BE1124" w:rsidSect="007303B1">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7CFC7B1E" w14:textId="10016CE5" w:rsidR="002B1648" w:rsidRPr="0081132D" w:rsidRDefault="00915AFE" w:rsidP="0081132D">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p w14:paraId="42705B57" w14:textId="77777777" w:rsidR="002B1648" w:rsidRDefault="002B1648"/>
  <w:p w14:paraId="349C33D7" w14:textId="77777777" w:rsidR="002B1648" w:rsidRDefault="002B1648"/>
  <w:p w14:paraId="022E3653" w14:textId="77777777" w:rsidR="002B1648" w:rsidRDefault="002B16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693900BE" w14:textId="77777777" w:rsidR="00974EB9" w:rsidRPr="00593E64" w:rsidRDefault="00974EB9" w:rsidP="00974EB9">
      <w:pPr>
        <w:pStyle w:val="Bibliography"/>
        <w:rPr>
          <w:rFonts w:asciiTheme="minorHAnsi" w:hAnsiTheme="minorHAnsi" w:cstheme="minorHAnsi"/>
          <w:noProof/>
          <w:sz w:val="20"/>
          <w:szCs w:val="20"/>
        </w:rPr>
      </w:pPr>
      <w:r w:rsidRPr="00593E64">
        <w:rPr>
          <w:rStyle w:val="FootnoteReference"/>
          <w:rFonts w:asciiTheme="minorHAnsi" w:eastAsia="Calibri" w:hAnsiTheme="minorHAnsi" w:cstheme="minorHAnsi"/>
          <w:sz w:val="20"/>
          <w:szCs w:val="20"/>
        </w:rPr>
        <w:footnoteRef/>
      </w:r>
      <w:r w:rsidRPr="00593E64">
        <w:rPr>
          <w:rFonts w:asciiTheme="minorHAnsi" w:hAnsiTheme="minorHAnsi" w:cstheme="minorHAnsi"/>
          <w:sz w:val="20"/>
          <w:szCs w:val="20"/>
        </w:rPr>
        <w:t xml:space="preserve"> </w:t>
      </w:r>
      <w:r w:rsidRPr="00593E64">
        <w:rPr>
          <w:rFonts w:asciiTheme="minorHAnsi" w:hAnsiTheme="minorHAnsi" w:cstheme="minorHAnsi"/>
          <w:noProof/>
          <w:sz w:val="20"/>
          <w:szCs w:val="20"/>
        </w:rPr>
        <w:t>Darling, R. B.</w:t>
      </w:r>
      <w:r>
        <w:rPr>
          <w:rFonts w:asciiTheme="minorHAnsi" w:hAnsiTheme="minorHAnsi" w:cstheme="minorHAnsi"/>
          <w:noProof/>
          <w:sz w:val="20"/>
          <w:szCs w:val="20"/>
        </w:rPr>
        <w:t xml:space="preserve"> (</w:t>
      </w:r>
      <w:r w:rsidRPr="00593E64">
        <w:rPr>
          <w:rFonts w:asciiTheme="minorHAnsi" w:hAnsiTheme="minorHAnsi" w:cstheme="minorHAnsi"/>
          <w:noProof/>
          <w:sz w:val="20"/>
          <w:szCs w:val="20"/>
        </w:rPr>
        <w:t>2013</w:t>
      </w:r>
      <w:r>
        <w:rPr>
          <w:rFonts w:asciiTheme="minorHAnsi" w:hAnsiTheme="minorHAnsi" w:cstheme="minorHAnsi"/>
          <w:noProof/>
          <w:sz w:val="20"/>
          <w:szCs w:val="20"/>
        </w:rPr>
        <w:t>)</w:t>
      </w:r>
      <w:r w:rsidRPr="00593E64">
        <w:rPr>
          <w:rFonts w:asciiTheme="minorHAnsi" w:hAnsiTheme="minorHAnsi" w:cstheme="minorHAnsi"/>
          <w:noProof/>
          <w:sz w:val="20"/>
          <w:szCs w:val="20"/>
        </w:rPr>
        <w:t xml:space="preserve">. </w:t>
      </w:r>
      <w:r w:rsidRPr="00593E64">
        <w:rPr>
          <w:rFonts w:asciiTheme="minorHAnsi" w:hAnsiTheme="minorHAnsi" w:cstheme="minorHAnsi"/>
          <w:i/>
          <w:iCs/>
          <w:noProof/>
          <w:sz w:val="20"/>
          <w:szCs w:val="20"/>
        </w:rPr>
        <w:t xml:space="preserve">Disability and </w:t>
      </w:r>
      <w:r>
        <w:rPr>
          <w:rFonts w:asciiTheme="minorHAnsi" w:hAnsiTheme="minorHAnsi" w:cstheme="minorHAnsi"/>
          <w:i/>
          <w:iCs/>
          <w:noProof/>
          <w:sz w:val="20"/>
          <w:szCs w:val="20"/>
        </w:rPr>
        <w:t>i</w:t>
      </w:r>
      <w:r w:rsidRPr="00593E64">
        <w:rPr>
          <w:rFonts w:asciiTheme="minorHAnsi" w:hAnsiTheme="minorHAnsi" w:cstheme="minorHAnsi"/>
          <w:i/>
          <w:iCs/>
          <w:noProof/>
          <w:sz w:val="20"/>
          <w:szCs w:val="20"/>
        </w:rPr>
        <w:t xml:space="preserve">dentity: Negotiating </w:t>
      </w:r>
      <w:r>
        <w:rPr>
          <w:rFonts w:asciiTheme="minorHAnsi" w:hAnsiTheme="minorHAnsi" w:cstheme="minorHAnsi"/>
          <w:i/>
          <w:iCs/>
          <w:noProof/>
          <w:sz w:val="20"/>
          <w:szCs w:val="20"/>
        </w:rPr>
        <w:t>s</w:t>
      </w:r>
      <w:r w:rsidRPr="00593E64">
        <w:rPr>
          <w:rFonts w:asciiTheme="minorHAnsi" w:hAnsiTheme="minorHAnsi" w:cstheme="minorHAnsi"/>
          <w:i/>
          <w:iCs/>
          <w:noProof/>
          <w:sz w:val="20"/>
          <w:szCs w:val="20"/>
        </w:rPr>
        <w:t xml:space="preserve">elf in a </w:t>
      </w:r>
      <w:r>
        <w:rPr>
          <w:rFonts w:asciiTheme="minorHAnsi" w:hAnsiTheme="minorHAnsi" w:cstheme="minorHAnsi"/>
          <w:i/>
          <w:iCs/>
          <w:noProof/>
          <w:sz w:val="20"/>
          <w:szCs w:val="20"/>
        </w:rPr>
        <w:t>c</w:t>
      </w:r>
      <w:r w:rsidRPr="00593E64">
        <w:rPr>
          <w:rFonts w:asciiTheme="minorHAnsi" w:hAnsiTheme="minorHAnsi" w:cstheme="minorHAnsi"/>
          <w:i/>
          <w:iCs/>
          <w:noProof/>
          <w:sz w:val="20"/>
          <w:szCs w:val="20"/>
        </w:rPr>
        <w:t xml:space="preserve">hanging </w:t>
      </w:r>
      <w:r>
        <w:rPr>
          <w:rFonts w:asciiTheme="minorHAnsi" w:hAnsiTheme="minorHAnsi" w:cstheme="minorHAnsi"/>
          <w:i/>
          <w:iCs/>
          <w:noProof/>
          <w:sz w:val="20"/>
          <w:szCs w:val="20"/>
        </w:rPr>
        <w:t>s</w:t>
      </w:r>
      <w:r w:rsidRPr="00593E64">
        <w:rPr>
          <w:rFonts w:asciiTheme="minorHAnsi" w:hAnsiTheme="minorHAnsi" w:cstheme="minorHAnsi"/>
          <w:i/>
          <w:iCs/>
          <w:noProof/>
          <w:sz w:val="20"/>
          <w:szCs w:val="20"/>
        </w:rPr>
        <w:t xml:space="preserve">ociety. </w:t>
      </w:r>
      <w:r w:rsidRPr="00593E64">
        <w:rPr>
          <w:rFonts w:asciiTheme="minorHAnsi" w:hAnsiTheme="minorHAnsi" w:cstheme="minorHAnsi"/>
          <w:noProof/>
          <w:sz w:val="20"/>
          <w:szCs w:val="20"/>
        </w:rPr>
        <w:t>Colorado: Lynne Riemer Publishers.</w:t>
      </w:r>
    </w:p>
    <w:p w14:paraId="4ADE5675" w14:textId="77777777" w:rsidR="00974EB9" w:rsidRPr="00593E64" w:rsidRDefault="00974EB9" w:rsidP="00E3678E">
      <w:pPr>
        <w:pStyle w:val="FootnoteText"/>
        <w:ind w:left="0" w:firstLine="0"/>
        <w:rPr>
          <w:rFonts w:asciiTheme="minorHAnsi" w:hAnsiTheme="minorHAnsi" w:cstheme="minorHAnsi"/>
        </w:rPr>
      </w:pPr>
    </w:p>
  </w:footnote>
  <w:footnote w:id="2">
    <w:p w14:paraId="5C577902" w14:textId="77777777" w:rsidR="00974EB9" w:rsidRPr="005D3716" w:rsidRDefault="00974EB9" w:rsidP="00974EB9">
      <w:pPr>
        <w:pStyle w:val="FootnoteText"/>
        <w:rPr>
          <w:rFonts w:asciiTheme="minorHAnsi" w:hAnsiTheme="minorHAnsi" w:cstheme="minorHAnsi"/>
        </w:rPr>
      </w:pPr>
      <w:r w:rsidRPr="005D3716">
        <w:rPr>
          <w:rStyle w:val="FootnoteReference"/>
          <w:rFonts w:asciiTheme="minorHAnsi" w:hAnsiTheme="minorHAnsi" w:cstheme="minorHAnsi"/>
        </w:rPr>
        <w:footnoteRef/>
      </w:r>
      <w:r w:rsidRPr="005D3716">
        <w:rPr>
          <w:rFonts w:asciiTheme="minorHAnsi" w:hAnsiTheme="minorHAnsi" w:cstheme="minorHAnsi"/>
        </w:rPr>
        <w:t xml:space="preserve"> Australian Institute for Teaching and School Leadership</w:t>
      </w:r>
      <w:r>
        <w:rPr>
          <w:rFonts w:asciiTheme="minorHAnsi" w:hAnsiTheme="minorHAnsi" w:cstheme="minorHAnsi"/>
        </w:rPr>
        <w:t xml:space="preserve"> (</w:t>
      </w:r>
      <w:r w:rsidRPr="005D3716">
        <w:rPr>
          <w:rFonts w:asciiTheme="minorHAnsi" w:hAnsiTheme="minorHAnsi" w:cstheme="minorHAnsi"/>
        </w:rPr>
        <w:t>2011</w:t>
      </w:r>
      <w:r>
        <w:rPr>
          <w:rFonts w:asciiTheme="minorHAnsi" w:hAnsiTheme="minorHAnsi" w:cstheme="minorHAnsi"/>
        </w:rPr>
        <w:t>)</w:t>
      </w:r>
      <w:r w:rsidRPr="005D3716">
        <w:rPr>
          <w:rFonts w:asciiTheme="minorHAnsi" w:hAnsiTheme="minorHAnsi" w:cstheme="minorHAnsi"/>
        </w:rPr>
        <w:t xml:space="preserve">. Australian </w:t>
      </w:r>
      <w:r>
        <w:rPr>
          <w:rFonts w:asciiTheme="minorHAnsi" w:hAnsiTheme="minorHAnsi" w:cstheme="minorHAnsi"/>
        </w:rPr>
        <w:t>p</w:t>
      </w:r>
      <w:r w:rsidRPr="005D3716">
        <w:rPr>
          <w:rFonts w:asciiTheme="minorHAnsi" w:hAnsiTheme="minorHAnsi" w:cstheme="minorHAnsi"/>
        </w:rPr>
        <w:t xml:space="preserve">rofessional </w:t>
      </w:r>
      <w:r>
        <w:rPr>
          <w:rFonts w:asciiTheme="minorHAnsi" w:hAnsiTheme="minorHAnsi" w:cstheme="minorHAnsi"/>
        </w:rPr>
        <w:t>s</w:t>
      </w:r>
      <w:r w:rsidRPr="005D3716">
        <w:rPr>
          <w:rFonts w:asciiTheme="minorHAnsi" w:hAnsiTheme="minorHAnsi" w:cstheme="minorHAnsi"/>
        </w:rPr>
        <w:t xml:space="preserve">tandards for </w:t>
      </w:r>
      <w:r>
        <w:rPr>
          <w:rFonts w:asciiTheme="minorHAnsi" w:hAnsiTheme="minorHAnsi" w:cstheme="minorHAnsi"/>
        </w:rPr>
        <w:t>t</w:t>
      </w:r>
      <w:r w:rsidRPr="005D3716">
        <w:rPr>
          <w:rFonts w:asciiTheme="minorHAnsi" w:hAnsiTheme="minorHAnsi" w:cstheme="minorHAnsi"/>
        </w:rPr>
        <w:t>eachers</w:t>
      </w:r>
      <w:r>
        <w:rPr>
          <w:rFonts w:asciiTheme="minorHAnsi" w:hAnsiTheme="minorHAnsi" w:cstheme="minorHAnsi"/>
        </w:rPr>
        <w:t>. Retrieved from</w:t>
      </w:r>
    </w:p>
    <w:p w14:paraId="22CA2D07" w14:textId="77777777" w:rsidR="00974EB9" w:rsidRPr="005D3716" w:rsidRDefault="00974EB9" w:rsidP="00974EB9">
      <w:pPr>
        <w:pStyle w:val="FootnoteText"/>
        <w:rPr>
          <w:rFonts w:asciiTheme="minorHAnsi" w:hAnsiTheme="minorHAnsi" w:cstheme="minorHAnsi"/>
        </w:rPr>
      </w:pPr>
      <w:r w:rsidRPr="005D3716">
        <w:rPr>
          <w:rFonts w:asciiTheme="minorHAnsi" w:hAnsiTheme="minorHAnsi" w:cstheme="minorHAnsi"/>
        </w:rPr>
        <w:t>https://www.aitsl.edu.au/docs/default-source/apst-resources/australian_professional_standard_for_teachers_final.pdf</w:t>
      </w:r>
    </w:p>
    <w:p w14:paraId="412E1D37" w14:textId="77777777" w:rsidR="00974EB9" w:rsidRDefault="00974EB9" w:rsidP="00974EB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F5ED" w14:textId="499F0301" w:rsidR="002B1648" w:rsidRPr="00E3678E" w:rsidRDefault="00DD736E" w:rsidP="00E3678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0ECA121E"/>
    <w:multiLevelType w:val="hybridMultilevel"/>
    <w:tmpl w:val="717CFE2E"/>
    <w:lvl w:ilvl="0" w:tplc="7492736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4"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0766D"/>
    <w:multiLevelType w:val="hybridMultilevel"/>
    <w:tmpl w:val="078E1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1F2520"/>
    <w:multiLevelType w:val="hybridMultilevel"/>
    <w:tmpl w:val="C696EF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2" w15:restartNumberingAfterBreak="0">
    <w:nsid w:val="56D32632"/>
    <w:multiLevelType w:val="hybridMultilevel"/>
    <w:tmpl w:val="FB907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8E2CB6"/>
    <w:multiLevelType w:val="hybridMultilevel"/>
    <w:tmpl w:val="D6C4BF34"/>
    <w:lvl w:ilvl="0" w:tplc="7492736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5" w15:restartNumberingAfterBreak="0">
    <w:nsid w:val="6BA03090"/>
    <w:multiLevelType w:val="hybridMultilevel"/>
    <w:tmpl w:val="56A6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60242"/>
    <w:multiLevelType w:val="hybridMultilevel"/>
    <w:tmpl w:val="9880F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4"/>
  </w:num>
  <w:num w:numId="4">
    <w:abstractNumId w:val="3"/>
  </w:num>
  <w:num w:numId="5">
    <w:abstractNumId w:val="0"/>
  </w:num>
  <w:num w:numId="6">
    <w:abstractNumId w:val="2"/>
  </w:num>
  <w:num w:numId="7">
    <w:abstractNumId w:val="4"/>
  </w:num>
  <w:num w:numId="8">
    <w:abstractNumId w:val="9"/>
  </w:num>
  <w:num w:numId="9">
    <w:abstractNumId w:val="6"/>
  </w:num>
  <w:num w:numId="10">
    <w:abstractNumId w:val="10"/>
  </w:num>
  <w:num w:numId="11">
    <w:abstractNumId w:val="1"/>
  </w:num>
  <w:num w:numId="12">
    <w:abstractNumId w:val="13"/>
  </w:num>
  <w:num w:numId="13">
    <w:abstractNumId w:val="16"/>
  </w:num>
  <w:num w:numId="14">
    <w:abstractNumId w:val="7"/>
  </w:num>
  <w:num w:numId="15">
    <w:abstractNumId w:val="1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0E3E38"/>
    <w:rsid w:val="00140041"/>
    <w:rsid w:val="001D6931"/>
    <w:rsid w:val="002105EC"/>
    <w:rsid w:val="00247B64"/>
    <w:rsid w:val="00267E9E"/>
    <w:rsid w:val="0027503A"/>
    <w:rsid w:val="00293303"/>
    <w:rsid w:val="0029353C"/>
    <w:rsid w:val="0029493B"/>
    <w:rsid w:val="002B1648"/>
    <w:rsid w:val="002E0578"/>
    <w:rsid w:val="002F119C"/>
    <w:rsid w:val="00360D00"/>
    <w:rsid w:val="003B33B4"/>
    <w:rsid w:val="003D638B"/>
    <w:rsid w:val="00400C96"/>
    <w:rsid w:val="004316C2"/>
    <w:rsid w:val="00483FF7"/>
    <w:rsid w:val="004D6F2B"/>
    <w:rsid w:val="00512492"/>
    <w:rsid w:val="0051346E"/>
    <w:rsid w:val="005234DA"/>
    <w:rsid w:val="00532CD7"/>
    <w:rsid w:val="005545FE"/>
    <w:rsid w:val="00560670"/>
    <w:rsid w:val="0057393D"/>
    <w:rsid w:val="00576209"/>
    <w:rsid w:val="00581C93"/>
    <w:rsid w:val="00591091"/>
    <w:rsid w:val="005A5F72"/>
    <w:rsid w:val="005B566E"/>
    <w:rsid w:val="005B5AB5"/>
    <w:rsid w:val="005C3C5D"/>
    <w:rsid w:val="005C7803"/>
    <w:rsid w:val="005F4C28"/>
    <w:rsid w:val="00604845"/>
    <w:rsid w:val="006710EF"/>
    <w:rsid w:val="006E1993"/>
    <w:rsid w:val="00713E94"/>
    <w:rsid w:val="007303B1"/>
    <w:rsid w:val="007316A5"/>
    <w:rsid w:val="00734472"/>
    <w:rsid w:val="007A2C9C"/>
    <w:rsid w:val="007B7989"/>
    <w:rsid w:val="007D5523"/>
    <w:rsid w:val="00800606"/>
    <w:rsid w:val="00800754"/>
    <w:rsid w:val="0081132D"/>
    <w:rsid w:val="0082199A"/>
    <w:rsid w:val="00827D90"/>
    <w:rsid w:val="00882851"/>
    <w:rsid w:val="008B38C5"/>
    <w:rsid w:val="008C0421"/>
    <w:rsid w:val="008F64DB"/>
    <w:rsid w:val="00913B17"/>
    <w:rsid w:val="00915AFE"/>
    <w:rsid w:val="0092468D"/>
    <w:rsid w:val="009375E2"/>
    <w:rsid w:val="009611E0"/>
    <w:rsid w:val="00965723"/>
    <w:rsid w:val="00974EB9"/>
    <w:rsid w:val="009A0198"/>
    <w:rsid w:val="00A1348E"/>
    <w:rsid w:val="00A22B47"/>
    <w:rsid w:val="00A25A5F"/>
    <w:rsid w:val="00A37C1D"/>
    <w:rsid w:val="00AA4B12"/>
    <w:rsid w:val="00B329F6"/>
    <w:rsid w:val="00BA3F61"/>
    <w:rsid w:val="00BB63F3"/>
    <w:rsid w:val="00BE1124"/>
    <w:rsid w:val="00BE6FCF"/>
    <w:rsid w:val="00BF47D4"/>
    <w:rsid w:val="00C01C00"/>
    <w:rsid w:val="00CA652B"/>
    <w:rsid w:val="00CB1C39"/>
    <w:rsid w:val="00D81237"/>
    <w:rsid w:val="00D91B45"/>
    <w:rsid w:val="00DB5719"/>
    <w:rsid w:val="00DD5513"/>
    <w:rsid w:val="00DD736E"/>
    <w:rsid w:val="00DE30E2"/>
    <w:rsid w:val="00E14A7F"/>
    <w:rsid w:val="00E150D7"/>
    <w:rsid w:val="00E27215"/>
    <w:rsid w:val="00E3678E"/>
    <w:rsid w:val="00E37B21"/>
    <w:rsid w:val="00E40DAA"/>
    <w:rsid w:val="00E4689F"/>
    <w:rsid w:val="00E84DAD"/>
    <w:rsid w:val="00EA18F3"/>
    <w:rsid w:val="00ED20DB"/>
    <w:rsid w:val="00ED7642"/>
    <w:rsid w:val="00F27CFC"/>
    <w:rsid w:val="00F66BE1"/>
    <w:rsid w:val="00F86F41"/>
    <w:rsid w:val="00F86F65"/>
    <w:rsid w:val="00FB2A12"/>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character" w:styleId="CommentReference">
    <w:name w:val="annotation reference"/>
    <w:basedOn w:val="DefaultParagraphFont"/>
    <w:uiPriority w:val="99"/>
    <w:semiHidden/>
    <w:unhideWhenUsed/>
    <w:rsid w:val="00A37C1D"/>
    <w:rPr>
      <w:sz w:val="16"/>
      <w:szCs w:val="16"/>
    </w:rPr>
  </w:style>
  <w:style w:type="paragraph" w:styleId="CommentText">
    <w:name w:val="annotation text"/>
    <w:basedOn w:val="Normal"/>
    <w:link w:val="CommentTextChar"/>
    <w:uiPriority w:val="99"/>
    <w:semiHidden/>
    <w:unhideWhenUsed/>
    <w:rsid w:val="00A37C1D"/>
    <w:pPr>
      <w:spacing w:after="0" w:line="240" w:lineRule="auto"/>
      <w:ind w:left="0" w:right="0" w:firstLine="0"/>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uiPriority w:val="99"/>
    <w:semiHidden/>
    <w:rsid w:val="00A37C1D"/>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A37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C1D"/>
    <w:rPr>
      <w:rFonts w:ascii="Segoe UI" w:eastAsia="Arial" w:hAnsi="Segoe UI" w:cs="Segoe UI"/>
      <w:color w:val="343433"/>
      <w:sz w:val="18"/>
      <w:szCs w:val="18"/>
    </w:rPr>
  </w:style>
  <w:style w:type="paragraph" w:styleId="Bibliography">
    <w:name w:val="Bibliography"/>
    <w:basedOn w:val="Normal"/>
    <w:next w:val="Normal"/>
    <w:uiPriority w:val="37"/>
    <w:unhideWhenUsed/>
    <w:rsid w:val="00974EB9"/>
    <w:pPr>
      <w:spacing w:after="0" w:line="240" w:lineRule="auto"/>
      <w:ind w:left="0" w:right="0" w:firstLine="0"/>
    </w:pPr>
    <w:rPr>
      <w:rFonts w:ascii="Times New Roman" w:eastAsia="Times New Roman" w:hAnsi="Times New Roman" w:cs="Times New Roman"/>
      <w:color w:val="auto"/>
      <w:szCs w:val="24"/>
      <w:lang w:val="en-AU"/>
    </w:rPr>
  </w:style>
  <w:style w:type="table" w:styleId="TableGrid">
    <w:name w:val="Table Grid"/>
    <w:basedOn w:val="TableNormal"/>
    <w:uiPriority w:val="39"/>
    <w:rsid w:val="00E3678E"/>
    <w:pPr>
      <w:spacing w:after="0" w:line="240" w:lineRule="auto"/>
    </w:pPr>
    <w:rPr>
      <w:rFonts w:eastAsiaTheme="minorHAns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9353C"/>
    <w:pPr>
      <w:spacing w:after="0" w:line="240" w:lineRule="auto"/>
    </w:pPr>
    <w:rPr>
      <w:rFonts w:eastAsiaTheme="minorHAns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ienner.com/uploads/5d1270369d5c0.pdf"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rtingwithjulius.org.au/3-myths-of-special-education-thoughts-for-parents/" TargetMode="External"/><Relationship Id="rId17" Type="http://schemas.openxmlformats.org/officeDocument/2006/relationships/hyperlink" Target="https://inclusiveeducationplanning.com.au/"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school-inclusion.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1.xml"/><Relationship Id="rId14" Type="http://schemas.openxmlformats.org/officeDocument/2006/relationships/hyperlink" Target="https://www.researchgate.net/publication/315114089_Teachers'_views_of_student's_self-determination_and_citizenship_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FA3D-60CD-45C6-B2F8-267E193E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9</cp:revision>
  <cp:lastPrinted>2019-12-11T01:44:00Z</cp:lastPrinted>
  <dcterms:created xsi:type="dcterms:W3CDTF">2019-12-11T06:42:00Z</dcterms:created>
  <dcterms:modified xsi:type="dcterms:W3CDTF">2020-01-03T05:15:00Z</dcterms:modified>
</cp:coreProperties>
</file>