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60" w:rsidRPr="00A07B61" w:rsidRDefault="00447E60" w:rsidP="005B1FA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00" w:beforeAutospacing="1" w:after="100" w:afterAutospacing="1" w:line="360" w:lineRule="auto"/>
        <w:rPr>
          <w:rFonts w:ascii="Calibri" w:hAnsi="Calibri" w:cs="Calibri"/>
          <w:b/>
          <w:color w:val="522E91"/>
          <w:szCs w:val="24"/>
        </w:rPr>
      </w:pPr>
    </w:p>
    <w:p w:rsidR="00447E60" w:rsidRPr="00A07B61" w:rsidRDefault="00712ED1" w:rsidP="005B1FA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00" w:beforeAutospacing="1" w:after="100" w:afterAutospacing="1" w:line="360" w:lineRule="auto"/>
        <w:rPr>
          <w:rFonts w:ascii="Calibri" w:hAnsi="Calibri" w:cs="Calibri"/>
          <w:b/>
          <w:color w:val="522E91"/>
          <w:szCs w:val="24"/>
        </w:rPr>
      </w:pPr>
      <w:r>
        <w:rPr>
          <w:rFonts w:ascii="Calibri" w:hAnsi="Calibri" w:cs="Calibri"/>
          <w:b/>
          <w:noProof/>
          <w:color w:val="522E91"/>
          <w:szCs w:val="24"/>
        </w:rPr>
        <w:drawing>
          <wp:anchor distT="0" distB="0" distL="114300" distR="114300" simplePos="0" relativeHeight="251660288" behindDoc="0" locked="0" layoutInCell="1" allowOverlap="1" wp14:anchorId="4AD71A61" wp14:editId="391BE556">
            <wp:simplePos x="0" y="0"/>
            <wp:positionH relativeFrom="margin">
              <wp:align>center</wp:align>
            </wp:positionH>
            <wp:positionV relativeFrom="margin">
              <wp:posOffset>925033</wp:posOffset>
            </wp:positionV>
            <wp:extent cx="6123940" cy="2285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A PO New Logo_FINAL_240314.jpg"/>
                    <pic:cNvPicPr/>
                  </pic:nvPicPr>
                  <pic:blipFill rotWithShape="1">
                    <a:blip r:embed="rId9" cstate="print">
                      <a:extLst>
                        <a:ext uri="{28A0092B-C50C-407E-A947-70E740481C1C}">
                          <a14:useLocalDpi xmlns:a14="http://schemas.microsoft.com/office/drawing/2010/main" val="0"/>
                        </a:ext>
                      </a:extLst>
                    </a:blip>
                    <a:srcRect l="1366" r="1259"/>
                    <a:stretch/>
                  </pic:blipFill>
                  <pic:spPr bwMode="auto">
                    <a:xfrm>
                      <a:off x="0" y="0"/>
                      <a:ext cx="6123940"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1484" w:rsidRDefault="00712ED1"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r>
        <w:rPr>
          <w:rFonts w:ascii="Times New Roman" w:hAnsi="Times New Roman"/>
          <w:noProof/>
          <w:lang w:eastAsia="en-AU"/>
        </w:rPr>
        <mc:AlternateContent>
          <mc:Choice Requires="wps">
            <w:drawing>
              <wp:anchor distT="0" distB="0" distL="114300" distR="114300" simplePos="0" relativeHeight="251662336" behindDoc="0" locked="0" layoutInCell="1" allowOverlap="1" wp14:anchorId="3F196116" wp14:editId="4BAE5F62">
                <wp:simplePos x="0" y="0"/>
                <wp:positionH relativeFrom="margin">
                  <wp:posOffset>-191770</wp:posOffset>
                </wp:positionH>
                <wp:positionV relativeFrom="margin">
                  <wp:posOffset>3540125</wp:posOffset>
                </wp:positionV>
                <wp:extent cx="6219190" cy="2073910"/>
                <wp:effectExtent l="0" t="0" r="0" b="2540"/>
                <wp:wrapSquare wrapText="bothSides"/>
                <wp:docPr id="4" name="Text Box 4"/>
                <wp:cNvGraphicFramePr/>
                <a:graphic xmlns:a="http://schemas.openxmlformats.org/drawingml/2006/main">
                  <a:graphicData uri="http://schemas.microsoft.com/office/word/2010/wordprocessingShape">
                    <wps:wsp>
                      <wps:cNvSpPr txBox="1"/>
                      <wps:spPr>
                        <a:xfrm>
                          <a:off x="0" y="0"/>
                          <a:ext cx="6219190" cy="2073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76D9" w:rsidRDefault="008376D9" w:rsidP="00031484">
                            <w:pPr>
                              <w:spacing w:after="0" w:line="240" w:lineRule="auto"/>
                              <w:rPr>
                                <w:b/>
                                <w:color w:val="522E91"/>
                                <w:sz w:val="72"/>
                                <w:szCs w:val="72"/>
                              </w:rPr>
                            </w:pPr>
                            <w:r>
                              <w:rPr>
                                <w:b/>
                                <w:color w:val="522E91"/>
                                <w:sz w:val="72"/>
                                <w:szCs w:val="72"/>
                              </w:rPr>
                              <w:t xml:space="preserve">JFA Purple Orange Submission </w:t>
                            </w:r>
                          </w:p>
                          <w:p w:rsidR="008376D9" w:rsidRPr="00031484" w:rsidRDefault="008376D9" w:rsidP="00031484">
                            <w:pPr>
                              <w:spacing w:after="0" w:line="240" w:lineRule="auto"/>
                              <w:rPr>
                                <w:color w:val="73C167"/>
                                <w:sz w:val="40"/>
                                <w:szCs w:val="40"/>
                              </w:rPr>
                            </w:pPr>
                            <w:r w:rsidRPr="00031484">
                              <w:rPr>
                                <w:color w:val="73C167"/>
                                <w:sz w:val="40"/>
                                <w:szCs w:val="40"/>
                              </w:rPr>
                              <w:t xml:space="preserve">To the Senate Standing Committee on Community Affairs’ Inquiry on </w:t>
                            </w:r>
                            <w:r w:rsidRPr="00031484">
                              <w:rPr>
                                <w:i/>
                                <w:color w:val="73C167"/>
                                <w:sz w:val="40"/>
                                <w:szCs w:val="40"/>
                              </w:rPr>
                              <w:t>The adequacy of existing residential care arrangements for young people with severe physical, mental or intellectual disabilities in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1pt;margin-top:278.75pt;width:489.7pt;height:16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" fillcolor="white [3201]" stroked="f" strokeweight=".5pt">
                <v:textbox>
                  <w:txbxContent>
                    <w:p w:rsidR="002740A3" w:rsidRDefault="002740A3" w:rsidP="00031484">
                      <w:pPr>
                        <w:spacing w:after="0" w:line="240" w:lineRule="auto"/>
                        <w:rPr>
                          <w:b/>
                          <w:color w:val="522E91"/>
                          <w:sz w:val="72"/>
                          <w:szCs w:val="72"/>
                        </w:rPr>
                      </w:pPr>
                      <w:r>
                        <w:rPr>
                          <w:b/>
                          <w:color w:val="522E91"/>
                          <w:sz w:val="72"/>
                          <w:szCs w:val="72"/>
                        </w:rPr>
                        <w:t xml:space="preserve">JFA Purple Orange Submission </w:t>
                      </w:r>
                    </w:p>
                    <w:p w:rsidR="002740A3" w:rsidRPr="00031484" w:rsidRDefault="002740A3" w:rsidP="00031484">
                      <w:pPr>
                        <w:spacing w:after="0" w:line="240" w:lineRule="auto"/>
                        <w:rPr>
                          <w:color w:val="73C167"/>
                          <w:sz w:val="40"/>
                          <w:szCs w:val="40"/>
                        </w:rPr>
                      </w:pPr>
                      <w:r w:rsidRPr="00031484">
                        <w:rPr>
                          <w:color w:val="73C167"/>
                          <w:sz w:val="40"/>
                          <w:szCs w:val="40"/>
                        </w:rPr>
                        <w:t xml:space="preserve">To the Senate Standing Committee on Community Affairs’ Inquiry on </w:t>
                      </w:r>
                      <w:r w:rsidRPr="00031484">
                        <w:rPr>
                          <w:i/>
                          <w:color w:val="73C167"/>
                          <w:sz w:val="40"/>
                          <w:szCs w:val="40"/>
                        </w:rPr>
                        <w:t>The adequacy of existing residential care arrangements for young people with severe physical, mental or intellectual disabilities in Australia.</w:t>
                      </w:r>
                    </w:p>
                  </w:txbxContent>
                </v:textbox>
                <w10:wrap type="square" anchorx="margin" anchory="margin"/>
              </v:shape>
            </w:pict>
          </mc:Fallback>
        </mc:AlternateContent>
      </w: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712ED1" w:rsidRDefault="00712ED1"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712ED1" w:rsidRDefault="00712ED1"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712ED1" w:rsidRDefault="00712ED1"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712ED1" w:rsidRDefault="00712ED1"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p>
    <w:p w:rsidR="00031484" w:rsidRP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lastRenderedPageBreak/>
        <w:t>Submitter details</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JFA Purple Orange</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104 Greenhill Road</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Unley SA 5061 AUSTRALIA</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Telephone: + 61 (8) 8373 8333</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Fax: + 61 (8) 8373 8373</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Email: admin@purpleorange.org.au </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Website: www.purpleorange.org.au</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Facebook: www.facebook.com/jfapurpleorange </w:t>
      </w:r>
      <w:r w:rsidRPr="00031484">
        <w:rPr>
          <w:rFonts w:ascii="Century Gothic" w:eastAsia="Arial Unicode MS" w:hAnsi="Century Gothic" w:cs="Calibri"/>
          <w:color w:val="522E91"/>
          <w:spacing w:val="2"/>
          <w:sz w:val="24"/>
          <w:szCs w:val="24"/>
          <w:lang w:eastAsia="ja-JP"/>
        </w:rPr>
        <w:br/>
      </w:r>
    </w:p>
    <w:p w:rsidR="00031484" w:rsidRP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t>Contributors</w:t>
      </w:r>
    </w:p>
    <w:p w:rsidR="00367647" w:rsidRDefault="00367647"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Geoff Barber, Chief Operating Officer</w:t>
      </w:r>
    </w:p>
    <w:p w:rsidR="00043ED2" w:rsidRDefault="00043ED2"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Ann-Marie Loebel, Policy Officer</w:t>
      </w:r>
    </w:p>
    <w:p w:rsidR="00043ED2" w:rsidRDefault="00861306"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 xml:space="preserve">JFA </w:t>
      </w:r>
      <w:r w:rsidR="00AD2BD2">
        <w:rPr>
          <w:rFonts w:ascii="Century Gothic" w:eastAsia="Arial Unicode MS" w:hAnsi="Century Gothic" w:cs="Calibri"/>
          <w:color w:val="522E91"/>
          <w:spacing w:val="2"/>
          <w:sz w:val="24"/>
          <w:szCs w:val="24"/>
          <w:lang w:eastAsia="ja-JP"/>
        </w:rPr>
        <w:t xml:space="preserve">Purple Orange </w:t>
      </w:r>
      <w:r>
        <w:rPr>
          <w:rFonts w:ascii="Century Gothic" w:eastAsia="Arial Unicode MS" w:hAnsi="Century Gothic" w:cs="Calibri"/>
          <w:color w:val="522E91"/>
          <w:spacing w:val="2"/>
          <w:sz w:val="24"/>
          <w:szCs w:val="24"/>
          <w:lang w:eastAsia="ja-JP"/>
        </w:rPr>
        <w:t>Policy &amp; Initiatives team</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p>
    <w:p w:rsidR="00031484" w:rsidRPr="00031484" w:rsidRDefault="00031484" w:rsidP="00031484">
      <w:pPr>
        <w:autoSpaceDE w:val="0"/>
        <w:autoSpaceDN w:val="0"/>
        <w:adjustRightInd w:val="0"/>
        <w:spacing w:after="0" w:line="24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t>About the Submitter</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val="en" w:eastAsia="en-AU"/>
        </w:rPr>
      </w:pPr>
      <w:r w:rsidRPr="00031484">
        <w:rPr>
          <w:rFonts w:ascii="Century Gothic" w:eastAsia="Arial Unicode MS" w:hAnsi="Century Gothic" w:cs="Calibri"/>
          <w:color w:val="522E91"/>
          <w:spacing w:val="2"/>
          <w:sz w:val="24"/>
          <w:szCs w:val="24"/>
          <w:lang w:val="en" w:eastAsia="en-AU"/>
        </w:rPr>
        <w:t>JFA Purple Orange is the social policy arm of the Julia Farr Association Inc. We are a non-government, social profit organisation that conducts research and engages in dialogue with people with lived experience of disability to develop policy and practice. Our work is anchored on the principles of Personhood and Citizenhood.</w:t>
      </w: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p>
    <w:p w:rsidR="00031484" w:rsidRPr="00031484" w:rsidRDefault="00031484" w:rsidP="00031484">
      <w:pPr>
        <w:autoSpaceDE w:val="0"/>
        <w:autoSpaceDN w:val="0"/>
        <w:adjustRightInd w:val="0"/>
        <w:spacing w:after="0" w:line="24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 </w:t>
      </w:r>
      <w:r>
        <w:rPr>
          <w:rFonts w:ascii="Century Gothic" w:eastAsia="Arial Unicode MS" w:hAnsi="Century Gothic" w:cs="Calibri"/>
          <w:color w:val="522E91"/>
          <w:spacing w:val="2"/>
          <w:sz w:val="24"/>
          <w:szCs w:val="24"/>
          <w:lang w:eastAsia="ja-JP"/>
        </w:rPr>
        <w:t>February 2015</w:t>
      </w:r>
      <w:r w:rsidRPr="00031484">
        <w:rPr>
          <w:rFonts w:ascii="Century Gothic" w:eastAsia="Arial Unicode MS" w:hAnsi="Century Gothic" w:cs="Calibri"/>
          <w:color w:val="522E91"/>
          <w:spacing w:val="2"/>
          <w:sz w:val="24"/>
          <w:szCs w:val="24"/>
          <w:lang w:eastAsia="ja-JP"/>
        </w:rPr>
        <w:t xml:space="preserve"> Julia Farr Association Inc.</w:t>
      </w:r>
    </w:p>
    <w:p w:rsidR="00E22B5E" w:rsidRDefault="00E22B5E" w:rsidP="005B1FA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00" w:beforeAutospacing="1" w:after="100" w:afterAutospacing="1" w:line="360" w:lineRule="auto"/>
        <w:rPr>
          <w:rFonts w:ascii="Calibri" w:hAnsi="Calibri" w:cs="Calibri"/>
          <w:b/>
          <w:color w:val="522E91"/>
          <w:sz w:val="28"/>
          <w:szCs w:val="28"/>
        </w:rPr>
      </w:pPr>
    </w:p>
    <w:p w:rsidR="00E22B5E" w:rsidRDefault="00E22B5E" w:rsidP="005B1FA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00" w:beforeAutospacing="1" w:after="100" w:afterAutospacing="1" w:line="360" w:lineRule="auto"/>
        <w:rPr>
          <w:rFonts w:ascii="Calibri" w:hAnsi="Calibri" w:cs="Calibri"/>
          <w:b/>
          <w:color w:val="522E91"/>
          <w:sz w:val="28"/>
          <w:szCs w:val="28"/>
        </w:rPr>
      </w:pPr>
    </w:p>
    <w:p w:rsidR="00E22B5E" w:rsidRDefault="00E22B5E" w:rsidP="005B1FA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00" w:beforeAutospacing="1" w:after="100" w:afterAutospacing="1" w:line="360" w:lineRule="auto"/>
        <w:rPr>
          <w:rFonts w:ascii="Calibri" w:hAnsi="Calibri" w:cs="Calibri"/>
          <w:b/>
          <w:color w:val="522E91"/>
          <w:sz w:val="28"/>
          <w:szCs w:val="28"/>
        </w:rPr>
      </w:pPr>
    </w:p>
    <w:p w:rsidR="00E22B5E" w:rsidRDefault="00E22B5E" w:rsidP="005B1FA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00" w:beforeAutospacing="1" w:after="100" w:afterAutospacing="1" w:line="360" w:lineRule="auto"/>
        <w:rPr>
          <w:rFonts w:ascii="Calibri" w:hAnsi="Calibri" w:cs="Calibri"/>
          <w:b/>
          <w:color w:val="522E91"/>
          <w:sz w:val="28"/>
          <w:szCs w:val="28"/>
        </w:rPr>
      </w:pPr>
    </w:p>
    <w:p w:rsidR="007D220B" w:rsidRDefault="007D220B">
      <w:pPr>
        <w:rPr>
          <w:rFonts w:ascii="Calibri" w:eastAsia="ヒラギノ角ゴ Pro W3" w:hAnsi="Calibri" w:cs="Calibri"/>
          <w:b/>
          <w:color w:val="522E91"/>
          <w:sz w:val="28"/>
          <w:szCs w:val="28"/>
          <w:lang w:eastAsia="en-AU"/>
        </w:rPr>
      </w:pPr>
      <w:r>
        <w:rPr>
          <w:rFonts w:ascii="Calibri" w:hAnsi="Calibri" w:cs="Calibri"/>
          <w:b/>
          <w:color w:val="522E91"/>
          <w:sz w:val="28"/>
          <w:szCs w:val="28"/>
        </w:rPr>
        <w:br w:type="page"/>
      </w:r>
    </w:p>
    <w:bookmarkStart w:id="0" w:name="_Toc392691379" w:displacedByCustomXml="next"/>
    <w:sdt>
      <w:sdtPr>
        <w:id w:val="1229107971"/>
        <w:docPartObj>
          <w:docPartGallery w:val="Table of Contents"/>
          <w:docPartUnique/>
        </w:docPartObj>
      </w:sdtPr>
      <w:sdtEndPr>
        <w:rPr>
          <w:rFonts w:asciiTheme="minorHAnsi" w:eastAsiaTheme="minorHAnsi" w:hAnsiTheme="minorHAnsi" w:cstheme="minorBidi"/>
          <w:noProof/>
          <w:color w:val="auto"/>
          <w:sz w:val="22"/>
          <w:szCs w:val="22"/>
          <w:lang w:val="en-AU" w:eastAsia="en-US"/>
        </w:rPr>
      </w:sdtEndPr>
      <w:sdtContent>
        <w:p w:rsidR="00887EE3" w:rsidRPr="00633879" w:rsidRDefault="00887EE3">
          <w:pPr>
            <w:pStyle w:val="TOCHeading"/>
            <w:rPr>
              <w:rFonts w:asciiTheme="minorHAnsi" w:hAnsiTheme="minorHAnsi"/>
              <w:color w:val="522E91"/>
            </w:rPr>
          </w:pPr>
          <w:r w:rsidRPr="00633879">
            <w:rPr>
              <w:rFonts w:asciiTheme="minorHAnsi" w:hAnsiTheme="minorHAnsi"/>
              <w:color w:val="522E91"/>
            </w:rPr>
            <w:t>Contents</w:t>
          </w:r>
        </w:p>
        <w:p w:rsidR="00887EE3" w:rsidRPr="00451FB3" w:rsidRDefault="00887EE3">
          <w:pPr>
            <w:pStyle w:val="TOC1"/>
            <w:tabs>
              <w:tab w:val="left" w:pos="440"/>
              <w:tab w:val="right" w:leader="dot" w:pos="9016"/>
            </w:tabs>
            <w:rPr>
              <w:rFonts w:eastAsiaTheme="minorEastAsia"/>
              <w:noProof/>
              <w:sz w:val="24"/>
              <w:szCs w:val="24"/>
              <w:lang w:eastAsia="en-AU"/>
            </w:rPr>
          </w:pPr>
          <w:r w:rsidRPr="00451FB3">
            <w:rPr>
              <w:sz w:val="24"/>
              <w:szCs w:val="24"/>
            </w:rPr>
            <w:fldChar w:fldCharType="begin"/>
          </w:r>
          <w:r w:rsidRPr="00451FB3">
            <w:rPr>
              <w:sz w:val="24"/>
              <w:szCs w:val="24"/>
            </w:rPr>
            <w:instrText xml:space="preserve"> TOC \o "1-3" \h \z \u </w:instrText>
          </w:r>
          <w:r w:rsidRPr="00451FB3">
            <w:rPr>
              <w:sz w:val="24"/>
              <w:szCs w:val="24"/>
            </w:rPr>
            <w:fldChar w:fldCharType="separate"/>
          </w:r>
          <w:hyperlink w:anchor="_Toc412197778" w:history="1">
            <w:r w:rsidRPr="00451FB3">
              <w:rPr>
                <w:rStyle w:val="Hyperlink"/>
                <w:noProof/>
                <w:sz w:val="24"/>
                <w:szCs w:val="24"/>
              </w:rPr>
              <w:t>1.</w:t>
            </w:r>
            <w:r w:rsidRPr="00451FB3">
              <w:rPr>
                <w:rFonts w:eastAsiaTheme="minorEastAsia"/>
                <w:noProof/>
                <w:sz w:val="24"/>
                <w:szCs w:val="24"/>
                <w:lang w:eastAsia="en-AU"/>
              </w:rPr>
              <w:tab/>
            </w:r>
            <w:r w:rsidRPr="00451FB3">
              <w:rPr>
                <w:rStyle w:val="Hyperlink"/>
                <w:noProof/>
                <w:sz w:val="24"/>
                <w:szCs w:val="24"/>
              </w:rPr>
              <w:t>Summary</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_Toc412197778 \h </w:instrText>
            </w:r>
            <w:r w:rsidRPr="00451FB3">
              <w:rPr>
                <w:noProof/>
                <w:webHidden/>
                <w:sz w:val="24"/>
                <w:szCs w:val="24"/>
              </w:rPr>
            </w:r>
            <w:r w:rsidRPr="00451FB3">
              <w:rPr>
                <w:noProof/>
                <w:webHidden/>
                <w:sz w:val="24"/>
                <w:szCs w:val="24"/>
              </w:rPr>
              <w:fldChar w:fldCharType="separate"/>
            </w:r>
            <w:r w:rsidRPr="00451FB3">
              <w:rPr>
                <w:noProof/>
                <w:webHidden/>
                <w:sz w:val="24"/>
                <w:szCs w:val="24"/>
              </w:rPr>
              <w:t>4</w:t>
            </w:r>
            <w:r w:rsidRPr="00451FB3">
              <w:rPr>
                <w:noProof/>
                <w:webHidden/>
                <w:sz w:val="24"/>
                <w:szCs w:val="24"/>
              </w:rPr>
              <w:fldChar w:fldCharType="end"/>
            </w:r>
          </w:hyperlink>
        </w:p>
        <w:p w:rsidR="00887EE3" w:rsidRPr="00451FB3" w:rsidRDefault="00887EE3">
          <w:pPr>
            <w:pStyle w:val="TOC1"/>
            <w:tabs>
              <w:tab w:val="left" w:pos="440"/>
              <w:tab w:val="right" w:leader="dot" w:pos="9016"/>
            </w:tabs>
            <w:rPr>
              <w:rFonts w:eastAsiaTheme="minorEastAsia"/>
              <w:noProof/>
              <w:sz w:val="24"/>
              <w:szCs w:val="24"/>
              <w:lang w:eastAsia="en-AU"/>
            </w:rPr>
          </w:pPr>
          <w:hyperlink w:anchor="_Toc412197779" w:history="1">
            <w:r w:rsidRPr="00451FB3">
              <w:rPr>
                <w:rStyle w:val="Hyperlink"/>
                <w:noProof/>
                <w:sz w:val="24"/>
                <w:szCs w:val="24"/>
              </w:rPr>
              <w:t>2.</w:t>
            </w:r>
            <w:r w:rsidRPr="00451FB3">
              <w:rPr>
                <w:rFonts w:eastAsiaTheme="minorEastAsia"/>
                <w:noProof/>
                <w:sz w:val="24"/>
                <w:szCs w:val="24"/>
                <w:lang w:eastAsia="en-AU"/>
              </w:rPr>
              <w:tab/>
            </w:r>
            <w:r w:rsidRPr="00451FB3">
              <w:rPr>
                <w:rStyle w:val="Hyperlink"/>
                <w:noProof/>
                <w:sz w:val="24"/>
                <w:szCs w:val="24"/>
              </w:rPr>
              <w:t>Introduction</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_Toc412197779 \h </w:instrText>
            </w:r>
            <w:r w:rsidRPr="00451FB3">
              <w:rPr>
                <w:noProof/>
                <w:webHidden/>
                <w:sz w:val="24"/>
                <w:szCs w:val="24"/>
              </w:rPr>
            </w:r>
            <w:r w:rsidRPr="00451FB3">
              <w:rPr>
                <w:noProof/>
                <w:webHidden/>
                <w:sz w:val="24"/>
                <w:szCs w:val="24"/>
              </w:rPr>
              <w:fldChar w:fldCharType="separate"/>
            </w:r>
            <w:r w:rsidRPr="00451FB3">
              <w:rPr>
                <w:noProof/>
                <w:webHidden/>
                <w:sz w:val="24"/>
                <w:szCs w:val="24"/>
              </w:rPr>
              <w:t>6</w:t>
            </w:r>
            <w:r w:rsidRPr="00451FB3">
              <w:rPr>
                <w:noProof/>
                <w:webHidden/>
                <w:sz w:val="24"/>
                <w:szCs w:val="24"/>
              </w:rPr>
              <w:fldChar w:fldCharType="end"/>
            </w:r>
          </w:hyperlink>
        </w:p>
        <w:p w:rsidR="00887EE3" w:rsidRPr="00451FB3" w:rsidRDefault="00887EE3">
          <w:pPr>
            <w:pStyle w:val="TOC2"/>
            <w:tabs>
              <w:tab w:val="left" w:pos="880"/>
              <w:tab w:val="right" w:leader="dot" w:pos="9016"/>
            </w:tabs>
            <w:rPr>
              <w:rFonts w:eastAsiaTheme="minorEastAsia"/>
              <w:noProof/>
              <w:sz w:val="24"/>
              <w:szCs w:val="24"/>
              <w:lang w:eastAsia="en-AU"/>
            </w:rPr>
          </w:pPr>
          <w:hyperlink w:anchor="_Toc412197780" w:history="1">
            <w:r w:rsidRPr="00451FB3">
              <w:rPr>
                <w:rStyle w:val="Hyperlink"/>
                <w:noProof/>
                <w:sz w:val="24"/>
                <w:szCs w:val="24"/>
              </w:rPr>
              <w:t>2.1.</w:t>
            </w:r>
            <w:r w:rsidRPr="00451FB3">
              <w:rPr>
                <w:rFonts w:eastAsiaTheme="minorEastAsia"/>
                <w:noProof/>
                <w:sz w:val="24"/>
                <w:szCs w:val="24"/>
                <w:lang w:eastAsia="en-AU"/>
              </w:rPr>
              <w:tab/>
            </w:r>
            <w:r w:rsidRPr="00451FB3">
              <w:rPr>
                <w:rStyle w:val="Hyperlink"/>
                <w:noProof/>
                <w:sz w:val="24"/>
                <w:szCs w:val="24"/>
              </w:rPr>
              <w:t>JFA Purple Orange</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_Toc412197780 \h </w:instrText>
            </w:r>
            <w:r w:rsidRPr="00451FB3">
              <w:rPr>
                <w:noProof/>
                <w:webHidden/>
                <w:sz w:val="24"/>
                <w:szCs w:val="24"/>
              </w:rPr>
            </w:r>
            <w:r w:rsidRPr="00451FB3">
              <w:rPr>
                <w:noProof/>
                <w:webHidden/>
                <w:sz w:val="24"/>
                <w:szCs w:val="24"/>
              </w:rPr>
              <w:fldChar w:fldCharType="separate"/>
            </w:r>
            <w:r w:rsidRPr="00451FB3">
              <w:rPr>
                <w:noProof/>
                <w:webHidden/>
                <w:sz w:val="24"/>
                <w:szCs w:val="24"/>
              </w:rPr>
              <w:t>6</w:t>
            </w:r>
            <w:r w:rsidRPr="00451FB3">
              <w:rPr>
                <w:noProof/>
                <w:webHidden/>
                <w:sz w:val="24"/>
                <w:szCs w:val="24"/>
              </w:rPr>
              <w:fldChar w:fldCharType="end"/>
            </w:r>
          </w:hyperlink>
        </w:p>
        <w:p w:rsidR="00887EE3" w:rsidRPr="00451FB3" w:rsidRDefault="00887EE3">
          <w:pPr>
            <w:pStyle w:val="TOC2"/>
            <w:tabs>
              <w:tab w:val="left" w:pos="880"/>
              <w:tab w:val="right" w:leader="dot" w:pos="9016"/>
            </w:tabs>
            <w:rPr>
              <w:rFonts w:eastAsiaTheme="minorEastAsia"/>
              <w:noProof/>
              <w:sz w:val="24"/>
              <w:szCs w:val="24"/>
              <w:lang w:eastAsia="en-AU"/>
            </w:rPr>
          </w:pPr>
          <w:hyperlink w:anchor="_Toc412197781" w:history="1">
            <w:r w:rsidRPr="00451FB3">
              <w:rPr>
                <w:rStyle w:val="Hyperlink"/>
                <w:noProof/>
                <w:sz w:val="24"/>
                <w:szCs w:val="24"/>
                <w:lang w:eastAsia="en-AU"/>
              </w:rPr>
              <w:t>2.2.</w:t>
            </w:r>
            <w:r w:rsidRPr="00451FB3">
              <w:rPr>
                <w:rFonts w:eastAsiaTheme="minorEastAsia"/>
                <w:noProof/>
                <w:sz w:val="24"/>
                <w:szCs w:val="24"/>
                <w:lang w:eastAsia="en-AU"/>
              </w:rPr>
              <w:tab/>
            </w:r>
            <w:r w:rsidRPr="00451FB3">
              <w:rPr>
                <w:rStyle w:val="Hyperlink"/>
                <w:noProof/>
                <w:sz w:val="24"/>
                <w:szCs w:val="24"/>
                <w:lang w:eastAsia="en-AU"/>
              </w:rPr>
              <w:t>International and National Contexts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_Toc412197781 \h </w:instrText>
            </w:r>
            <w:r w:rsidRPr="00451FB3">
              <w:rPr>
                <w:noProof/>
                <w:webHidden/>
                <w:sz w:val="24"/>
                <w:szCs w:val="24"/>
              </w:rPr>
            </w:r>
            <w:r w:rsidRPr="00451FB3">
              <w:rPr>
                <w:noProof/>
                <w:webHidden/>
                <w:sz w:val="24"/>
                <w:szCs w:val="24"/>
              </w:rPr>
              <w:fldChar w:fldCharType="separate"/>
            </w:r>
            <w:r w:rsidRPr="00451FB3">
              <w:rPr>
                <w:noProof/>
                <w:webHidden/>
                <w:sz w:val="24"/>
                <w:szCs w:val="24"/>
              </w:rPr>
              <w:t>6</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82" w:history="1">
            <w:r w:rsidRPr="00451FB3">
              <w:rPr>
                <w:rStyle w:val="Hyperlink"/>
                <w:noProof/>
                <w:sz w:val="24"/>
                <w:szCs w:val="24"/>
              </w:rPr>
              <w:t>2.2.1.</w:t>
            </w:r>
            <w:r w:rsidRPr="00451FB3">
              <w:rPr>
                <w:rFonts w:eastAsiaTheme="minorEastAsia"/>
                <w:noProof/>
                <w:sz w:val="24"/>
                <w:szCs w:val="24"/>
                <w:lang w:eastAsia="en-AU"/>
              </w:rPr>
              <w:tab/>
            </w:r>
            <w:r w:rsidRPr="00451FB3">
              <w:rPr>
                <w:rStyle w:val="Hyperlink"/>
                <w:noProof/>
                <w:sz w:val="24"/>
                <w:szCs w:val="24"/>
              </w:rPr>
              <w:t>The United Nations Convention on the Rights of Persons with Disabilities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_Toc412197782 \h </w:instrText>
            </w:r>
            <w:r w:rsidRPr="00451FB3">
              <w:rPr>
                <w:noProof/>
                <w:webHidden/>
                <w:sz w:val="24"/>
                <w:szCs w:val="24"/>
              </w:rPr>
            </w:r>
            <w:r w:rsidRPr="00451FB3">
              <w:rPr>
                <w:noProof/>
                <w:webHidden/>
                <w:sz w:val="24"/>
                <w:szCs w:val="24"/>
              </w:rPr>
              <w:fldChar w:fldCharType="separate"/>
            </w:r>
            <w:r w:rsidRPr="00451FB3">
              <w:rPr>
                <w:noProof/>
                <w:webHidden/>
                <w:sz w:val="24"/>
                <w:szCs w:val="24"/>
              </w:rPr>
              <w:t>6</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83" w:history="1">
            <w:r w:rsidRPr="00451FB3">
              <w:rPr>
                <w:rStyle w:val="Hyperlink"/>
                <w:noProof/>
                <w:sz w:val="24"/>
                <w:szCs w:val="24"/>
              </w:rPr>
              <w:t>2.2.2.</w:t>
            </w:r>
            <w:r w:rsidRPr="00451FB3">
              <w:rPr>
                <w:rFonts w:eastAsiaTheme="minorEastAsia"/>
                <w:noProof/>
                <w:sz w:val="24"/>
                <w:szCs w:val="24"/>
                <w:lang w:eastAsia="en-AU"/>
              </w:rPr>
              <w:tab/>
            </w:r>
            <w:r w:rsidRPr="00451FB3">
              <w:rPr>
                <w:rStyle w:val="Hyperlink"/>
                <w:noProof/>
                <w:sz w:val="24"/>
                <w:szCs w:val="24"/>
              </w:rPr>
              <w:t>The National Disability Strategy</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_Toc412197783 \h </w:instrText>
            </w:r>
            <w:r w:rsidRPr="00451FB3">
              <w:rPr>
                <w:noProof/>
                <w:webHidden/>
                <w:sz w:val="24"/>
                <w:szCs w:val="24"/>
              </w:rPr>
            </w:r>
            <w:r w:rsidRPr="00451FB3">
              <w:rPr>
                <w:noProof/>
                <w:webHidden/>
                <w:sz w:val="24"/>
                <w:szCs w:val="24"/>
              </w:rPr>
              <w:fldChar w:fldCharType="separate"/>
            </w:r>
            <w:r w:rsidRPr="00451FB3">
              <w:rPr>
                <w:noProof/>
                <w:webHidden/>
                <w:sz w:val="24"/>
                <w:szCs w:val="24"/>
              </w:rPr>
              <w:t>7</w:t>
            </w:r>
            <w:r w:rsidRPr="00451FB3">
              <w:rPr>
                <w:noProof/>
                <w:webHidden/>
                <w:sz w:val="24"/>
                <w:szCs w:val="24"/>
              </w:rPr>
              <w:fldChar w:fldCharType="end"/>
            </w:r>
          </w:hyperlink>
        </w:p>
        <w:p w:rsidR="00887EE3" w:rsidRPr="00451FB3" w:rsidRDefault="00887EE3">
          <w:pPr>
            <w:pStyle w:val="TOC2"/>
            <w:tabs>
              <w:tab w:val="left" w:pos="880"/>
              <w:tab w:val="right" w:leader="dot" w:pos="9016"/>
            </w:tabs>
            <w:rPr>
              <w:rFonts w:eastAsiaTheme="minorEastAsia"/>
              <w:noProof/>
              <w:sz w:val="24"/>
              <w:szCs w:val="24"/>
              <w:lang w:eastAsia="en-AU"/>
            </w:rPr>
          </w:pPr>
          <w:hyperlink w:anchor="_Toc412197784" w:history="1">
            <w:r w:rsidRPr="00451FB3">
              <w:rPr>
                <w:rStyle w:val="Hyperlink"/>
                <w:noProof/>
                <w:sz w:val="24"/>
                <w:szCs w:val="24"/>
              </w:rPr>
              <w:t>2.3.</w:t>
            </w:r>
            <w:r w:rsidRPr="00451FB3">
              <w:rPr>
                <w:rFonts w:eastAsiaTheme="minorEastAsia"/>
                <w:noProof/>
                <w:sz w:val="24"/>
                <w:szCs w:val="24"/>
                <w:lang w:eastAsia="en-AU"/>
              </w:rPr>
              <w:tab/>
            </w:r>
            <w:r w:rsidRPr="00451FB3">
              <w:rPr>
                <w:rStyle w:val="Hyperlink"/>
                <w:noProof/>
                <w:sz w:val="24"/>
                <w:szCs w:val="24"/>
              </w:rPr>
              <w:t>Key Values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_Toc412197784 \h </w:instrText>
            </w:r>
            <w:r w:rsidRPr="00451FB3">
              <w:rPr>
                <w:noProof/>
                <w:webHidden/>
                <w:sz w:val="24"/>
                <w:szCs w:val="24"/>
              </w:rPr>
            </w:r>
            <w:r w:rsidRPr="00451FB3">
              <w:rPr>
                <w:noProof/>
                <w:webHidden/>
                <w:sz w:val="24"/>
                <w:szCs w:val="24"/>
              </w:rPr>
              <w:fldChar w:fldCharType="separate"/>
            </w:r>
            <w:r w:rsidRPr="00451FB3">
              <w:rPr>
                <w:noProof/>
                <w:webHidden/>
                <w:sz w:val="24"/>
                <w:szCs w:val="24"/>
              </w:rPr>
              <w:t>8</w:t>
            </w:r>
            <w:r w:rsidRPr="00451FB3">
              <w:rPr>
                <w:noProof/>
                <w:webHidden/>
                <w:sz w:val="24"/>
                <w:szCs w:val="24"/>
              </w:rPr>
              <w:fldChar w:fldCharType="end"/>
            </w:r>
          </w:hyperlink>
        </w:p>
        <w:p w:rsidR="00887EE3" w:rsidRPr="00451FB3" w:rsidRDefault="00887EE3">
          <w:pPr>
            <w:pStyle w:val="TOC1"/>
            <w:tabs>
              <w:tab w:val="left" w:pos="440"/>
              <w:tab w:val="right" w:leader="dot" w:pos="9016"/>
            </w:tabs>
            <w:rPr>
              <w:rFonts w:eastAsiaTheme="minorEastAsia"/>
              <w:noProof/>
              <w:sz w:val="24"/>
              <w:szCs w:val="24"/>
              <w:lang w:eastAsia="en-AU"/>
            </w:rPr>
          </w:pPr>
          <w:hyperlink w:anchor="_Toc412197785" w:history="1">
            <w:r w:rsidRPr="00451FB3">
              <w:rPr>
                <w:rStyle w:val="Hyperlink"/>
                <w:noProof/>
                <w:sz w:val="24"/>
                <w:szCs w:val="24"/>
              </w:rPr>
              <w:t>3.</w:t>
            </w:r>
            <w:r w:rsidRPr="00451FB3">
              <w:rPr>
                <w:rFonts w:eastAsiaTheme="minorEastAsia"/>
                <w:noProof/>
                <w:sz w:val="24"/>
                <w:szCs w:val="24"/>
                <w:lang w:eastAsia="en-AU"/>
              </w:rPr>
              <w:tab/>
            </w:r>
            <w:r w:rsidRPr="00451FB3">
              <w:rPr>
                <w:rStyle w:val="Hyperlink"/>
                <w:noProof/>
                <w:sz w:val="24"/>
                <w:szCs w:val="24"/>
              </w:rPr>
              <w:t>Our Approach to this Submission</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_Toc412197785 \h </w:instrText>
            </w:r>
            <w:r w:rsidRPr="00451FB3">
              <w:rPr>
                <w:noProof/>
                <w:webHidden/>
                <w:sz w:val="24"/>
                <w:szCs w:val="24"/>
              </w:rPr>
            </w:r>
            <w:r w:rsidRPr="00451FB3">
              <w:rPr>
                <w:noProof/>
                <w:webHidden/>
                <w:sz w:val="24"/>
                <w:szCs w:val="24"/>
              </w:rPr>
              <w:fldChar w:fldCharType="separate"/>
            </w:r>
            <w:r w:rsidRPr="00451FB3">
              <w:rPr>
                <w:noProof/>
                <w:webHidden/>
                <w:sz w:val="24"/>
                <w:szCs w:val="24"/>
              </w:rPr>
              <w:t>10</w:t>
            </w:r>
            <w:r w:rsidRPr="00451FB3">
              <w:rPr>
                <w:noProof/>
                <w:webHidden/>
                <w:sz w:val="24"/>
                <w:szCs w:val="24"/>
              </w:rPr>
              <w:fldChar w:fldCharType="end"/>
            </w:r>
          </w:hyperlink>
        </w:p>
        <w:p w:rsidR="00887EE3" w:rsidRPr="00451FB3" w:rsidRDefault="00887EE3">
          <w:pPr>
            <w:pStyle w:val="TOC2"/>
            <w:tabs>
              <w:tab w:val="left" w:pos="880"/>
              <w:tab w:val="right" w:leader="dot" w:pos="9016"/>
            </w:tabs>
            <w:rPr>
              <w:rFonts w:eastAsiaTheme="minorEastAsia"/>
              <w:noProof/>
              <w:sz w:val="24"/>
              <w:szCs w:val="24"/>
              <w:lang w:eastAsia="en-AU"/>
            </w:rPr>
          </w:pPr>
          <w:hyperlink w:anchor="_Toc412197786" w:history="1">
            <w:r w:rsidRPr="00451FB3">
              <w:rPr>
                <w:rStyle w:val="Hyperlink"/>
                <w:noProof/>
                <w:sz w:val="24"/>
                <w:szCs w:val="24"/>
              </w:rPr>
              <w:t>3.1.</w:t>
            </w:r>
            <w:r w:rsidRPr="00451FB3">
              <w:rPr>
                <w:rFonts w:eastAsiaTheme="minorEastAsia"/>
                <w:noProof/>
                <w:sz w:val="24"/>
                <w:szCs w:val="24"/>
                <w:lang w:eastAsia="en-AU"/>
              </w:rPr>
              <w:tab/>
            </w:r>
            <w:r w:rsidRPr="00451FB3">
              <w:rPr>
                <w:rStyle w:val="Hyperlink"/>
                <w:noProof/>
                <w:sz w:val="24"/>
                <w:szCs w:val="24"/>
              </w:rPr>
              <w:t>Definitions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_Toc412197786 \h </w:instrText>
            </w:r>
            <w:r w:rsidRPr="00451FB3">
              <w:rPr>
                <w:noProof/>
                <w:webHidden/>
                <w:sz w:val="24"/>
                <w:szCs w:val="24"/>
              </w:rPr>
            </w:r>
            <w:r w:rsidRPr="00451FB3">
              <w:rPr>
                <w:noProof/>
                <w:webHidden/>
                <w:sz w:val="24"/>
                <w:szCs w:val="24"/>
              </w:rPr>
              <w:fldChar w:fldCharType="separate"/>
            </w:r>
            <w:r w:rsidRPr="00451FB3">
              <w:rPr>
                <w:noProof/>
                <w:webHidden/>
                <w:sz w:val="24"/>
                <w:szCs w:val="24"/>
              </w:rPr>
              <w:t>10</w:t>
            </w:r>
            <w:r w:rsidRPr="00451FB3">
              <w:rPr>
                <w:noProof/>
                <w:webHidden/>
                <w:sz w:val="24"/>
                <w:szCs w:val="24"/>
              </w:rPr>
              <w:fldChar w:fldCharType="end"/>
            </w:r>
          </w:hyperlink>
        </w:p>
        <w:p w:rsidR="00887EE3" w:rsidRPr="00451FB3" w:rsidRDefault="00887EE3">
          <w:pPr>
            <w:pStyle w:val="TOC2"/>
            <w:tabs>
              <w:tab w:val="left" w:pos="880"/>
              <w:tab w:val="right" w:leader="dot" w:pos="9016"/>
            </w:tabs>
            <w:rPr>
              <w:rFonts w:eastAsiaTheme="minorEastAsia"/>
              <w:noProof/>
              <w:sz w:val="24"/>
              <w:szCs w:val="24"/>
              <w:lang w:eastAsia="en-AU"/>
            </w:rPr>
          </w:pPr>
          <w:hyperlink w:anchor="_Toc412197787" w:history="1">
            <w:r w:rsidRPr="00451FB3">
              <w:rPr>
                <w:rStyle w:val="Hyperlink"/>
                <w:noProof/>
                <w:sz w:val="24"/>
                <w:szCs w:val="24"/>
              </w:rPr>
              <w:t>3.2.</w:t>
            </w:r>
            <w:r w:rsidRPr="00451FB3">
              <w:rPr>
                <w:rFonts w:eastAsiaTheme="minorEastAsia"/>
                <w:noProof/>
                <w:sz w:val="24"/>
                <w:szCs w:val="24"/>
                <w:lang w:eastAsia="en-AU"/>
              </w:rPr>
              <w:tab/>
            </w:r>
            <w:r w:rsidRPr="00451FB3">
              <w:rPr>
                <w:rStyle w:val="Hyperlink"/>
                <w:noProof/>
                <w:sz w:val="24"/>
                <w:szCs w:val="24"/>
                <w:lang w:val="en"/>
              </w:rPr>
              <w:t xml:space="preserve">TOR (d) The Appropriateness of the Aged Care System </w:t>
            </w:r>
            <w:r w:rsidRPr="00451FB3">
              <w:rPr>
                <w:rStyle w:val="Hyperlink"/>
                <w:noProof/>
                <w:sz w:val="24"/>
                <w:szCs w:val="24"/>
              </w:rPr>
              <w:t>for Care of Young People with Disability</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_Toc412197787 \h </w:instrText>
            </w:r>
            <w:r w:rsidRPr="00451FB3">
              <w:rPr>
                <w:noProof/>
                <w:webHidden/>
                <w:sz w:val="24"/>
                <w:szCs w:val="24"/>
              </w:rPr>
            </w:r>
            <w:r w:rsidRPr="00451FB3">
              <w:rPr>
                <w:noProof/>
                <w:webHidden/>
                <w:sz w:val="24"/>
                <w:szCs w:val="24"/>
              </w:rPr>
              <w:fldChar w:fldCharType="separate"/>
            </w:r>
            <w:r w:rsidRPr="00451FB3">
              <w:rPr>
                <w:noProof/>
                <w:webHidden/>
                <w:sz w:val="24"/>
                <w:szCs w:val="24"/>
              </w:rPr>
              <w:t>10</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88" w:history="1">
            <w:r w:rsidRPr="00451FB3">
              <w:rPr>
                <w:rStyle w:val="Hyperlink"/>
                <w:noProof/>
                <w:sz w:val="24"/>
                <w:szCs w:val="24"/>
              </w:rPr>
              <w:t>3.2.1.</w:t>
            </w:r>
            <w:r w:rsidRPr="00451FB3">
              <w:rPr>
                <w:rFonts w:eastAsiaTheme="minorEastAsia"/>
                <w:noProof/>
                <w:sz w:val="24"/>
                <w:szCs w:val="24"/>
                <w:lang w:eastAsia="en-AU"/>
              </w:rPr>
              <w:tab/>
            </w:r>
            <w:r w:rsidRPr="00451FB3">
              <w:rPr>
                <w:rStyle w:val="Hyperlink"/>
                <w:noProof/>
                <w:sz w:val="24"/>
                <w:szCs w:val="24"/>
              </w:rPr>
              <w:t>Why are young people living with significant disability living in residential aged care facilities?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_Toc412197788 \h </w:instrText>
            </w:r>
            <w:r w:rsidRPr="00451FB3">
              <w:rPr>
                <w:noProof/>
                <w:webHidden/>
                <w:sz w:val="24"/>
                <w:szCs w:val="24"/>
              </w:rPr>
            </w:r>
            <w:r w:rsidRPr="00451FB3">
              <w:rPr>
                <w:noProof/>
                <w:webHidden/>
                <w:sz w:val="24"/>
                <w:szCs w:val="24"/>
              </w:rPr>
              <w:fldChar w:fldCharType="separate"/>
            </w:r>
            <w:r w:rsidRPr="00451FB3">
              <w:rPr>
                <w:noProof/>
                <w:webHidden/>
                <w:sz w:val="24"/>
                <w:szCs w:val="24"/>
              </w:rPr>
              <w:t>12</w:t>
            </w:r>
            <w:r w:rsidRPr="00451FB3">
              <w:rPr>
                <w:noProof/>
                <w:webHidden/>
                <w:sz w:val="24"/>
                <w:szCs w:val="24"/>
              </w:rPr>
              <w:fldChar w:fldCharType="end"/>
            </w:r>
          </w:hyperlink>
        </w:p>
        <w:p w:rsidR="00887EE3" w:rsidRPr="00451FB3" w:rsidRDefault="00887EE3">
          <w:pPr>
            <w:pStyle w:val="TOC2"/>
            <w:tabs>
              <w:tab w:val="left" w:pos="880"/>
              <w:tab w:val="right" w:leader="dot" w:pos="9016"/>
            </w:tabs>
            <w:rPr>
              <w:rFonts w:eastAsiaTheme="minorEastAsia"/>
              <w:noProof/>
              <w:sz w:val="24"/>
              <w:szCs w:val="24"/>
              <w:lang w:eastAsia="en-AU"/>
            </w:rPr>
          </w:pPr>
          <w:hyperlink w:anchor="_Toc412197789" w:history="1">
            <w:r w:rsidRPr="00451FB3">
              <w:rPr>
                <w:rStyle w:val="Hyperlink"/>
                <w:noProof/>
                <w:sz w:val="24"/>
                <w:szCs w:val="24"/>
              </w:rPr>
              <w:t>3.3.</w:t>
            </w:r>
            <w:r w:rsidRPr="00451FB3">
              <w:rPr>
                <w:rFonts w:eastAsiaTheme="minorEastAsia"/>
                <w:noProof/>
                <w:sz w:val="24"/>
                <w:szCs w:val="24"/>
                <w:lang w:eastAsia="en-AU"/>
              </w:rPr>
              <w:tab/>
            </w:r>
            <w:r w:rsidRPr="00451FB3">
              <w:rPr>
                <w:rStyle w:val="Hyperlink"/>
                <w:noProof/>
                <w:sz w:val="24"/>
                <w:szCs w:val="24"/>
              </w:rPr>
              <w:t>TOR (f) the options, consequences and considerations of the de-institutionalisation of young people with disability.</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_Toc412197789 \h </w:instrText>
            </w:r>
            <w:r w:rsidRPr="00451FB3">
              <w:rPr>
                <w:noProof/>
                <w:webHidden/>
                <w:sz w:val="24"/>
                <w:szCs w:val="24"/>
              </w:rPr>
            </w:r>
            <w:r w:rsidRPr="00451FB3">
              <w:rPr>
                <w:noProof/>
                <w:webHidden/>
                <w:sz w:val="24"/>
                <w:szCs w:val="24"/>
              </w:rPr>
              <w:fldChar w:fldCharType="separate"/>
            </w:r>
            <w:r w:rsidRPr="00451FB3">
              <w:rPr>
                <w:noProof/>
                <w:webHidden/>
                <w:sz w:val="24"/>
                <w:szCs w:val="24"/>
              </w:rPr>
              <w:t>15</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90" w:history="1">
            <w:r w:rsidRPr="00451FB3">
              <w:rPr>
                <w:rStyle w:val="Hyperlink"/>
                <w:noProof/>
                <w:sz w:val="24"/>
                <w:szCs w:val="24"/>
              </w:rPr>
              <w:t>3.3.1.</w:t>
            </w:r>
            <w:r w:rsidRPr="00451FB3">
              <w:rPr>
                <w:rFonts w:eastAsiaTheme="minorEastAsia"/>
                <w:noProof/>
                <w:sz w:val="24"/>
                <w:szCs w:val="24"/>
                <w:lang w:eastAsia="en-AU"/>
              </w:rPr>
              <w:tab/>
            </w:r>
            <w:r w:rsidRPr="00451FB3">
              <w:rPr>
                <w:rStyle w:val="Hyperlink"/>
                <w:noProof/>
                <w:sz w:val="24"/>
                <w:szCs w:val="24"/>
              </w:rPr>
              <w:t>What type of system do we want?</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_Toc412197790 \h </w:instrText>
            </w:r>
            <w:r w:rsidRPr="00451FB3">
              <w:rPr>
                <w:noProof/>
                <w:webHidden/>
                <w:sz w:val="24"/>
                <w:szCs w:val="24"/>
              </w:rPr>
            </w:r>
            <w:r w:rsidRPr="00451FB3">
              <w:rPr>
                <w:noProof/>
                <w:webHidden/>
                <w:sz w:val="24"/>
                <w:szCs w:val="24"/>
              </w:rPr>
              <w:fldChar w:fldCharType="separate"/>
            </w:r>
            <w:r w:rsidRPr="00451FB3">
              <w:rPr>
                <w:noProof/>
                <w:webHidden/>
                <w:sz w:val="24"/>
                <w:szCs w:val="24"/>
              </w:rPr>
              <w:t>15</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91" w:history="1">
            <w:r w:rsidRPr="00451FB3">
              <w:rPr>
                <w:rStyle w:val="Hyperlink"/>
                <w:noProof/>
                <w:sz w:val="24"/>
                <w:szCs w:val="24"/>
              </w:rPr>
              <w:t>3.3.2.</w:t>
            </w:r>
            <w:r w:rsidRPr="00451FB3">
              <w:rPr>
                <w:rFonts w:eastAsiaTheme="minorEastAsia"/>
                <w:noProof/>
                <w:sz w:val="24"/>
                <w:szCs w:val="24"/>
                <w:lang w:eastAsia="en-AU"/>
              </w:rPr>
              <w:tab/>
            </w:r>
            <w:r w:rsidRPr="00451FB3">
              <w:rPr>
                <w:rStyle w:val="Hyperlink"/>
                <w:noProof/>
                <w:sz w:val="24"/>
                <w:szCs w:val="24"/>
              </w:rPr>
              <w:t>Principles and values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_Toc412197791 \h </w:instrText>
            </w:r>
            <w:r w:rsidRPr="00451FB3">
              <w:rPr>
                <w:noProof/>
                <w:webHidden/>
                <w:sz w:val="24"/>
                <w:szCs w:val="24"/>
              </w:rPr>
            </w:r>
            <w:r w:rsidRPr="00451FB3">
              <w:rPr>
                <w:noProof/>
                <w:webHidden/>
                <w:sz w:val="24"/>
                <w:szCs w:val="24"/>
              </w:rPr>
              <w:fldChar w:fldCharType="separate"/>
            </w:r>
            <w:r w:rsidRPr="00451FB3">
              <w:rPr>
                <w:noProof/>
                <w:webHidden/>
                <w:sz w:val="24"/>
                <w:szCs w:val="24"/>
              </w:rPr>
              <w:t>16</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92" w:history="1">
            <w:r w:rsidRPr="00451FB3">
              <w:rPr>
                <w:rStyle w:val="Hyperlink"/>
                <w:noProof/>
                <w:sz w:val="24"/>
                <w:szCs w:val="24"/>
              </w:rPr>
              <w:t>3.3.3.</w:t>
            </w:r>
            <w:r w:rsidRPr="00451FB3">
              <w:rPr>
                <w:rFonts w:eastAsiaTheme="minorEastAsia"/>
                <w:noProof/>
                <w:sz w:val="24"/>
                <w:szCs w:val="24"/>
                <w:lang w:eastAsia="en-AU"/>
              </w:rPr>
              <w:tab/>
            </w:r>
            <w:r w:rsidRPr="00451FB3">
              <w:rPr>
                <w:rStyle w:val="Hyperlink"/>
                <w:noProof/>
                <w:sz w:val="24"/>
                <w:szCs w:val="24"/>
              </w:rPr>
              <w:t>Framework to navigate the system</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_Toc412197792 \h </w:instrText>
            </w:r>
            <w:r w:rsidRPr="00451FB3">
              <w:rPr>
                <w:noProof/>
                <w:webHidden/>
                <w:sz w:val="24"/>
                <w:szCs w:val="24"/>
              </w:rPr>
            </w:r>
            <w:r w:rsidRPr="00451FB3">
              <w:rPr>
                <w:noProof/>
                <w:webHidden/>
                <w:sz w:val="24"/>
                <w:szCs w:val="24"/>
              </w:rPr>
              <w:fldChar w:fldCharType="separate"/>
            </w:r>
            <w:r w:rsidRPr="00451FB3">
              <w:rPr>
                <w:noProof/>
                <w:webHidden/>
                <w:sz w:val="24"/>
                <w:szCs w:val="24"/>
              </w:rPr>
              <w:t>17</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93" w:history="1">
            <w:r w:rsidRPr="00451FB3">
              <w:rPr>
                <w:rStyle w:val="Hyperlink"/>
                <w:noProof/>
                <w:sz w:val="24"/>
                <w:szCs w:val="24"/>
                <w:lang w:val="en"/>
              </w:rPr>
              <w:t>3.3.4.</w:t>
            </w:r>
            <w:r w:rsidRPr="00451FB3">
              <w:rPr>
                <w:rFonts w:eastAsiaTheme="minorEastAsia"/>
                <w:noProof/>
                <w:sz w:val="24"/>
                <w:szCs w:val="24"/>
                <w:lang w:eastAsia="en-AU"/>
              </w:rPr>
              <w:tab/>
            </w:r>
            <w:r w:rsidRPr="00451FB3">
              <w:rPr>
                <w:rStyle w:val="Hyperlink"/>
                <w:noProof/>
                <w:sz w:val="24"/>
                <w:szCs w:val="24"/>
                <w:lang w:val="en"/>
              </w:rPr>
              <w:t>A range of options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_Toc412197793 \h </w:instrText>
            </w:r>
            <w:r w:rsidRPr="00451FB3">
              <w:rPr>
                <w:noProof/>
                <w:webHidden/>
                <w:sz w:val="24"/>
                <w:szCs w:val="24"/>
              </w:rPr>
            </w:r>
            <w:r w:rsidRPr="00451FB3">
              <w:rPr>
                <w:noProof/>
                <w:webHidden/>
                <w:sz w:val="24"/>
                <w:szCs w:val="24"/>
              </w:rPr>
              <w:fldChar w:fldCharType="separate"/>
            </w:r>
            <w:r w:rsidRPr="00451FB3">
              <w:rPr>
                <w:noProof/>
                <w:webHidden/>
                <w:sz w:val="24"/>
                <w:szCs w:val="24"/>
              </w:rPr>
              <w:t>19</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94" w:history="1">
            <w:r w:rsidRPr="00451FB3">
              <w:rPr>
                <w:rStyle w:val="Hyperlink"/>
                <w:noProof/>
                <w:sz w:val="24"/>
                <w:szCs w:val="24"/>
                <w:lang w:val="en"/>
              </w:rPr>
              <w:t>3.3.5.</w:t>
            </w:r>
            <w:r w:rsidRPr="00451FB3">
              <w:rPr>
                <w:rFonts w:eastAsiaTheme="minorEastAsia"/>
                <w:noProof/>
                <w:sz w:val="24"/>
                <w:szCs w:val="24"/>
                <w:lang w:eastAsia="en-AU"/>
              </w:rPr>
              <w:tab/>
            </w:r>
            <w:r w:rsidRPr="00451FB3">
              <w:rPr>
                <w:rStyle w:val="Hyperlink"/>
                <w:noProof/>
                <w:sz w:val="24"/>
                <w:szCs w:val="24"/>
                <w:lang w:val="en"/>
              </w:rPr>
              <w:t>An example of contemporary community social housing</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_Toc412197794 \h </w:instrText>
            </w:r>
            <w:r w:rsidRPr="00451FB3">
              <w:rPr>
                <w:noProof/>
                <w:webHidden/>
                <w:sz w:val="24"/>
                <w:szCs w:val="24"/>
              </w:rPr>
            </w:r>
            <w:r w:rsidRPr="00451FB3">
              <w:rPr>
                <w:noProof/>
                <w:webHidden/>
                <w:sz w:val="24"/>
                <w:szCs w:val="24"/>
              </w:rPr>
              <w:fldChar w:fldCharType="separate"/>
            </w:r>
            <w:r w:rsidRPr="00451FB3">
              <w:rPr>
                <w:noProof/>
                <w:webHidden/>
                <w:sz w:val="24"/>
                <w:szCs w:val="24"/>
              </w:rPr>
              <w:t>21</w:t>
            </w:r>
            <w:r w:rsidRPr="00451FB3">
              <w:rPr>
                <w:noProof/>
                <w:webHidden/>
                <w:sz w:val="24"/>
                <w:szCs w:val="24"/>
              </w:rPr>
              <w:fldChar w:fldCharType="end"/>
            </w:r>
          </w:hyperlink>
        </w:p>
        <w:p w:rsidR="00887EE3" w:rsidRPr="00451FB3" w:rsidRDefault="00887EE3">
          <w:pPr>
            <w:pStyle w:val="TOC3"/>
            <w:tabs>
              <w:tab w:val="left" w:pos="1320"/>
              <w:tab w:val="right" w:leader="dot" w:pos="9016"/>
            </w:tabs>
            <w:rPr>
              <w:rFonts w:eastAsiaTheme="minorEastAsia"/>
              <w:noProof/>
              <w:sz w:val="24"/>
              <w:szCs w:val="24"/>
              <w:lang w:eastAsia="en-AU"/>
            </w:rPr>
          </w:pPr>
          <w:hyperlink w:anchor="_Toc412197795" w:history="1">
            <w:r w:rsidRPr="00451FB3">
              <w:rPr>
                <w:rStyle w:val="Hyperlink"/>
                <w:noProof/>
                <w:sz w:val="24"/>
                <w:szCs w:val="24"/>
              </w:rPr>
              <w:t>3.3.6.</w:t>
            </w:r>
            <w:r w:rsidRPr="00451FB3">
              <w:rPr>
                <w:rFonts w:eastAsiaTheme="minorEastAsia"/>
                <w:noProof/>
                <w:sz w:val="24"/>
                <w:szCs w:val="24"/>
                <w:lang w:eastAsia="en-AU"/>
              </w:rPr>
              <w:tab/>
            </w:r>
            <w:r w:rsidRPr="00451FB3">
              <w:rPr>
                <w:rStyle w:val="Hyperlink"/>
                <w:noProof/>
                <w:sz w:val="24"/>
                <w:szCs w:val="24"/>
              </w:rPr>
              <w:t>Separation of accommodation and support</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_Toc412197795 \h </w:instrText>
            </w:r>
            <w:r w:rsidRPr="00451FB3">
              <w:rPr>
                <w:noProof/>
                <w:webHidden/>
                <w:sz w:val="24"/>
                <w:szCs w:val="24"/>
              </w:rPr>
            </w:r>
            <w:r w:rsidRPr="00451FB3">
              <w:rPr>
                <w:noProof/>
                <w:webHidden/>
                <w:sz w:val="24"/>
                <w:szCs w:val="24"/>
              </w:rPr>
              <w:fldChar w:fldCharType="separate"/>
            </w:r>
            <w:r w:rsidRPr="00451FB3">
              <w:rPr>
                <w:noProof/>
                <w:webHidden/>
                <w:sz w:val="24"/>
                <w:szCs w:val="24"/>
              </w:rPr>
              <w:t>22</w:t>
            </w:r>
            <w:r w:rsidRPr="00451FB3">
              <w:rPr>
                <w:noProof/>
                <w:webHidden/>
                <w:sz w:val="24"/>
                <w:szCs w:val="24"/>
              </w:rPr>
              <w:fldChar w:fldCharType="end"/>
            </w:r>
          </w:hyperlink>
        </w:p>
        <w:p w:rsidR="00887EE3" w:rsidRPr="00451FB3" w:rsidRDefault="00887EE3">
          <w:pPr>
            <w:pStyle w:val="TOC1"/>
            <w:tabs>
              <w:tab w:val="left" w:pos="440"/>
              <w:tab w:val="right" w:leader="dot" w:pos="9016"/>
            </w:tabs>
            <w:rPr>
              <w:rFonts w:eastAsiaTheme="minorEastAsia"/>
              <w:noProof/>
              <w:sz w:val="24"/>
              <w:szCs w:val="24"/>
              <w:lang w:eastAsia="en-AU"/>
            </w:rPr>
          </w:pPr>
          <w:hyperlink w:anchor="_Toc412197796" w:history="1">
            <w:r w:rsidRPr="00451FB3">
              <w:rPr>
                <w:rStyle w:val="Hyperlink"/>
                <w:noProof/>
                <w:sz w:val="24"/>
                <w:szCs w:val="24"/>
              </w:rPr>
              <w:t>4.</w:t>
            </w:r>
            <w:r w:rsidRPr="00451FB3">
              <w:rPr>
                <w:rFonts w:eastAsiaTheme="minorEastAsia"/>
                <w:noProof/>
                <w:sz w:val="24"/>
                <w:szCs w:val="24"/>
                <w:lang w:eastAsia="en-AU"/>
              </w:rPr>
              <w:tab/>
            </w:r>
            <w:r w:rsidRPr="00451FB3">
              <w:rPr>
                <w:rStyle w:val="Hyperlink"/>
                <w:noProof/>
                <w:sz w:val="24"/>
                <w:szCs w:val="24"/>
              </w:rPr>
              <w:t>Conclusion</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_Toc412197796 \h </w:instrText>
            </w:r>
            <w:r w:rsidRPr="00451FB3">
              <w:rPr>
                <w:noProof/>
                <w:webHidden/>
                <w:sz w:val="24"/>
                <w:szCs w:val="24"/>
              </w:rPr>
            </w:r>
            <w:r w:rsidRPr="00451FB3">
              <w:rPr>
                <w:noProof/>
                <w:webHidden/>
                <w:sz w:val="24"/>
                <w:szCs w:val="24"/>
              </w:rPr>
              <w:fldChar w:fldCharType="separate"/>
            </w:r>
            <w:r w:rsidRPr="00451FB3">
              <w:rPr>
                <w:noProof/>
                <w:webHidden/>
                <w:sz w:val="24"/>
                <w:szCs w:val="24"/>
              </w:rPr>
              <w:t>24</w:t>
            </w:r>
            <w:r w:rsidRPr="00451FB3">
              <w:rPr>
                <w:noProof/>
                <w:webHidden/>
                <w:sz w:val="24"/>
                <w:szCs w:val="24"/>
              </w:rPr>
              <w:fldChar w:fldCharType="end"/>
            </w:r>
          </w:hyperlink>
        </w:p>
        <w:p w:rsidR="00887EE3" w:rsidRPr="00451FB3" w:rsidRDefault="00887EE3">
          <w:pPr>
            <w:pStyle w:val="TOC1"/>
            <w:tabs>
              <w:tab w:val="left" w:pos="440"/>
              <w:tab w:val="right" w:leader="dot" w:pos="9016"/>
            </w:tabs>
            <w:rPr>
              <w:rFonts w:eastAsiaTheme="minorEastAsia"/>
              <w:noProof/>
              <w:sz w:val="24"/>
              <w:szCs w:val="24"/>
              <w:lang w:eastAsia="en-AU"/>
            </w:rPr>
          </w:pPr>
          <w:hyperlink w:anchor="_Toc412197797" w:history="1">
            <w:r w:rsidRPr="00451FB3">
              <w:rPr>
                <w:rStyle w:val="Hyperlink"/>
                <w:noProof/>
                <w:sz w:val="24"/>
                <w:szCs w:val="24"/>
              </w:rPr>
              <w:t>5.</w:t>
            </w:r>
            <w:r w:rsidRPr="00451FB3">
              <w:rPr>
                <w:rFonts w:eastAsiaTheme="minorEastAsia"/>
                <w:noProof/>
                <w:sz w:val="24"/>
                <w:szCs w:val="24"/>
                <w:lang w:eastAsia="en-AU"/>
              </w:rPr>
              <w:tab/>
            </w:r>
            <w:r w:rsidRPr="00451FB3">
              <w:rPr>
                <w:rStyle w:val="Hyperlink"/>
                <w:noProof/>
                <w:sz w:val="24"/>
                <w:szCs w:val="24"/>
              </w:rPr>
              <w:t>Recommendations</w:t>
            </w:r>
            <w:r w:rsidRPr="00451FB3">
              <w:rPr>
                <w:noProof/>
                <w:webHidden/>
                <w:sz w:val="24"/>
                <w:szCs w:val="24"/>
              </w:rPr>
              <w:tab/>
            </w:r>
            <w:r w:rsidRPr="00451FB3">
              <w:rPr>
                <w:noProof/>
                <w:webHidden/>
                <w:sz w:val="24"/>
                <w:szCs w:val="24"/>
              </w:rPr>
              <w:fldChar w:fldCharType="begin"/>
            </w:r>
            <w:r w:rsidRPr="00451FB3">
              <w:rPr>
                <w:noProof/>
                <w:webHidden/>
                <w:sz w:val="24"/>
                <w:szCs w:val="24"/>
              </w:rPr>
              <w:instrText xml:space="preserve"> PAGEREF _Toc412197797 \h </w:instrText>
            </w:r>
            <w:r w:rsidRPr="00451FB3">
              <w:rPr>
                <w:noProof/>
                <w:webHidden/>
                <w:sz w:val="24"/>
                <w:szCs w:val="24"/>
              </w:rPr>
            </w:r>
            <w:r w:rsidRPr="00451FB3">
              <w:rPr>
                <w:noProof/>
                <w:webHidden/>
                <w:sz w:val="24"/>
                <w:szCs w:val="24"/>
              </w:rPr>
              <w:fldChar w:fldCharType="separate"/>
            </w:r>
            <w:r w:rsidRPr="00451FB3">
              <w:rPr>
                <w:noProof/>
                <w:webHidden/>
                <w:sz w:val="24"/>
                <w:szCs w:val="24"/>
              </w:rPr>
              <w:t>26</w:t>
            </w:r>
            <w:r w:rsidRPr="00451FB3">
              <w:rPr>
                <w:noProof/>
                <w:webHidden/>
                <w:sz w:val="24"/>
                <w:szCs w:val="24"/>
              </w:rPr>
              <w:fldChar w:fldCharType="end"/>
            </w:r>
          </w:hyperlink>
        </w:p>
        <w:p w:rsidR="00887EE3" w:rsidRDefault="00887EE3">
          <w:r w:rsidRPr="00451FB3">
            <w:rPr>
              <w:b/>
              <w:bCs/>
              <w:noProof/>
              <w:sz w:val="24"/>
              <w:szCs w:val="24"/>
            </w:rPr>
            <w:fldChar w:fldCharType="end"/>
          </w:r>
        </w:p>
      </w:sdtContent>
    </w:sdt>
    <w:p w:rsidR="00555B04" w:rsidRPr="00244C7B" w:rsidRDefault="00447E60" w:rsidP="005A3468">
      <w:pPr>
        <w:pStyle w:val="Heading1"/>
      </w:pPr>
      <w:bookmarkStart w:id="1" w:name="_GoBack"/>
      <w:bookmarkEnd w:id="1"/>
      <w:r>
        <w:br w:type="page"/>
      </w:r>
      <w:bookmarkStart w:id="2" w:name="_Toc412197778"/>
      <w:r w:rsidR="00555B04" w:rsidRPr="00244C7B">
        <w:lastRenderedPageBreak/>
        <w:t>Summary</w:t>
      </w:r>
      <w:bookmarkEnd w:id="2"/>
      <w:r w:rsidR="00725879">
        <w:br/>
      </w:r>
    </w:p>
    <w:p w:rsidR="009E3FA4" w:rsidRDefault="00555B04" w:rsidP="005A3468">
      <w:pPr>
        <w:autoSpaceDE w:val="0"/>
        <w:autoSpaceDN w:val="0"/>
        <w:adjustRightInd w:val="0"/>
        <w:spacing w:after="0" w:line="240" w:lineRule="auto"/>
        <w:rPr>
          <w:rFonts w:cs="Calibri"/>
          <w:sz w:val="24"/>
          <w:lang w:eastAsia="en-AU"/>
        </w:rPr>
      </w:pPr>
      <w:r w:rsidRPr="00031484">
        <w:rPr>
          <w:sz w:val="24"/>
        </w:rPr>
        <w:t xml:space="preserve">JFA Purple Orange is an </w:t>
      </w:r>
      <w:r w:rsidRPr="00031484">
        <w:rPr>
          <w:rFonts w:cs="Calibri"/>
          <w:sz w:val="24"/>
          <w:lang w:eastAsia="en-AU"/>
        </w:rPr>
        <w:t xml:space="preserve">independent, non-government </w:t>
      </w:r>
      <w:r w:rsidR="007D4AEF">
        <w:rPr>
          <w:rFonts w:cs="Calibri"/>
          <w:sz w:val="24"/>
          <w:lang w:eastAsia="en-AU"/>
        </w:rPr>
        <w:t>organisation</w:t>
      </w:r>
      <w:r w:rsidR="007D4AEF" w:rsidRPr="00031484">
        <w:rPr>
          <w:rFonts w:cs="Calibri"/>
          <w:sz w:val="24"/>
          <w:lang w:eastAsia="en-AU"/>
        </w:rPr>
        <w:t xml:space="preserve"> </w:t>
      </w:r>
      <w:r w:rsidRPr="00031484">
        <w:rPr>
          <w:rFonts w:cs="Calibri"/>
          <w:sz w:val="24"/>
          <w:lang w:eastAsia="en-AU"/>
        </w:rPr>
        <w:t xml:space="preserve">based in South Australia that fosters innovation, shares useful information and promotes policy and practice that support and improve the life chances of people living with disability. </w:t>
      </w:r>
    </w:p>
    <w:p w:rsidR="007D4AEF" w:rsidRPr="00031484" w:rsidRDefault="007D4AEF" w:rsidP="005A3468">
      <w:pPr>
        <w:spacing w:after="0" w:line="240" w:lineRule="auto"/>
        <w:rPr>
          <w:rFonts w:cstheme="minorHAnsi"/>
          <w:color w:val="000000"/>
          <w:sz w:val="24"/>
          <w:lang w:val="en"/>
        </w:rPr>
      </w:pPr>
    </w:p>
    <w:p w:rsidR="009E3FA4" w:rsidRDefault="009C1EA3" w:rsidP="005A3468">
      <w:pPr>
        <w:spacing w:after="0" w:line="240" w:lineRule="auto"/>
        <w:rPr>
          <w:sz w:val="24"/>
        </w:rPr>
      </w:pPr>
      <w:r w:rsidRPr="00031484">
        <w:rPr>
          <w:sz w:val="24"/>
          <w:lang w:val="en-US"/>
        </w:rPr>
        <w:t>In preparing this response</w:t>
      </w:r>
      <w:r>
        <w:rPr>
          <w:sz w:val="24"/>
          <w:lang w:val="en-US"/>
        </w:rPr>
        <w:t xml:space="preserve"> we</w:t>
      </w:r>
      <w:r w:rsidRPr="00031484">
        <w:rPr>
          <w:rFonts w:cstheme="minorHAnsi"/>
          <w:color w:val="000000"/>
          <w:sz w:val="24"/>
          <w:lang w:val="en"/>
        </w:rPr>
        <w:t xml:space="preserve"> interviewed a number of people with lived experience of disability who moved </w:t>
      </w:r>
      <w:r>
        <w:rPr>
          <w:rFonts w:cstheme="minorHAnsi"/>
          <w:color w:val="000000"/>
          <w:sz w:val="24"/>
          <w:lang w:val="en"/>
        </w:rPr>
        <w:t>from</w:t>
      </w:r>
      <w:r w:rsidRPr="00031484">
        <w:rPr>
          <w:rFonts w:cstheme="minorHAnsi"/>
          <w:color w:val="000000"/>
          <w:sz w:val="24"/>
          <w:lang w:val="en"/>
        </w:rPr>
        <w:t>, or were at risk of placement in</w:t>
      </w:r>
      <w:r>
        <w:rPr>
          <w:rFonts w:cstheme="minorHAnsi"/>
          <w:color w:val="000000"/>
          <w:sz w:val="24"/>
          <w:lang w:val="en"/>
        </w:rPr>
        <w:t>,</w:t>
      </w:r>
      <w:r w:rsidRPr="00031484">
        <w:rPr>
          <w:rFonts w:cstheme="minorHAnsi"/>
          <w:color w:val="000000"/>
          <w:sz w:val="24"/>
          <w:lang w:val="en"/>
        </w:rPr>
        <w:t xml:space="preserve"> a residential aged care facility. </w:t>
      </w:r>
      <w:r w:rsidR="00F36ED6">
        <w:rPr>
          <w:sz w:val="24"/>
        </w:rPr>
        <w:t>The i</w:t>
      </w:r>
      <w:r w:rsidR="00555B04" w:rsidRPr="00031484">
        <w:rPr>
          <w:sz w:val="24"/>
        </w:rPr>
        <w:t>ndividuals</w:t>
      </w:r>
      <w:r w:rsidR="00F36ED6">
        <w:rPr>
          <w:sz w:val="24"/>
        </w:rPr>
        <w:t xml:space="preserve"> interviewed</w:t>
      </w:r>
      <w:r w:rsidR="00555B04" w:rsidRPr="00031484">
        <w:rPr>
          <w:sz w:val="24"/>
        </w:rPr>
        <w:t xml:space="preserve"> highlighted the fundamental human need, and right, to have authorship</w:t>
      </w:r>
      <w:r w:rsidR="00394278" w:rsidRPr="00031484">
        <w:rPr>
          <w:sz w:val="24"/>
        </w:rPr>
        <w:t xml:space="preserve"> over their own lives</w:t>
      </w:r>
      <w:r w:rsidR="00555B04" w:rsidRPr="00031484">
        <w:rPr>
          <w:sz w:val="24"/>
        </w:rPr>
        <w:t>, and to make the</w:t>
      </w:r>
      <w:r w:rsidR="00F36ED6">
        <w:rPr>
          <w:sz w:val="24"/>
        </w:rPr>
        <w:t>ir own</w:t>
      </w:r>
      <w:r w:rsidR="00555B04" w:rsidRPr="00031484">
        <w:rPr>
          <w:sz w:val="24"/>
        </w:rPr>
        <w:t xml:space="preserve"> daily decisions about food, activities, and social contact </w:t>
      </w:r>
      <w:r w:rsidR="00F36ED6">
        <w:rPr>
          <w:sz w:val="24"/>
        </w:rPr>
        <w:t xml:space="preserve">– decisions </w:t>
      </w:r>
      <w:r w:rsidR="00555B04" w:rsidRPr="00031484">
        <w:rPr>
          <w:sz w:val="24"/>
        </w:rPr>
        <w:t>most of us take for granted.</w:t>
      </w:r>
    </w:p>
    <w:p w:rsidR="002C7B01" w:rsidRDefault="002C7B01" w:rsidP="005A3468">
      <w:pPr>
        <w:spacing w:after="0" w:line="240" w:lineRule="auto"/>
        <w:rPr>
          <w:sz w:val="24"/>
        </w:rPr>
      </w:pPr>
    </w:p>
    <w:p w:rsidR="002C7B01" w:rsidRDefault="002C7B01" w:rsidP="005A3468">
      <w:pPr>
        <w:spacing w:after="0" w:line="240" w:lineRule="auto"/>
        <w:rPr>
          <w:sz w:val="24"/>
        </w:rPr>
      </w:pPr>
      <w:r>
        <w:rPr>
          <w:sz w:val="24"/>
        </w:rPr>
        <w:t>We have addressed the core issues</w:t>
      </w:r>
      <w:r w:rsidR="00360443">
        <w:rPr>
          <w:sz w:val="24"/>
        </w:rPr>
        <w:t>, namely</w:t>
      </w:r>
      <w:r>
        <w:rPr>
          <w:sz w:val="24"/>
        </w:rPr>
        <w:t xml:space="preserve"> the inappropriateness of residential aged care facilities for young people</w:t>
      </w:r>
      <w:r w:rsidR="00360443">
        <w:rPr>
          <w:sz w:val="24"/>
        </w:rPr>
        <w:t xml:space="preserve"> living</w:t>
      </w:r>
      <w:r>
        <w:rPr>
          <w:sz w:val="24"/>
        </w:rPr>
        <w:t xml:space="preserve"> with significant disabilit</w:t>
      </w:r>
      <w:r w:rsidR="00360443">
        <w:rPr>
          <w:sz w:val="24"/>
        </w:rPr>
        <w:t>y</w:t>
      </w:r>
      <w:r>
        <w:rPr>
          <w:sz w:val="24"/>
        </w:rPr>
        <w:t>, and have suggested a framework and options to inform future discussions.</w:t>
      </w:r>
    </w:p>
    <w:p w:rsidR="00F36ED6" w:rsidRPr="00031484" w:rsidRDefault="00F36ED6" w:rsidP="005A3468">
      <w:pPr>
        <w:spacing w:after="0" w:line="240" w:lineRule="auto"/>
        <w:rPr>
          <w:sz w:val="24"/>
        </w:rPr>
      </w:pPr>
    </w:p>
    <w:p w:rsidR="009E3FA4" w:rsidRDefault="00394278" w:rsidP="005A3468">
      <w:pPr>
        <w:spacing w:after="0" w:line="240" w:lineRule="auto"/>
        <w:rPr>
          <w:sz w:val="24"/>
        </w:rPr>
      </w:pPr>
      <w:r w:rsidRPr="00031484">
        <w:rPr>
          <w:sz w:val="24"/>
        </w:rPr>
        <w:t>Young people moving from, or at risk of placement in, residential aged care facilities need a range of creative and innovative housing solutions to enable participation and real choice. This should be the norm, and not an opportunity available to a lucky few.</w:t>
      </w:r>
    </w:p>
    <w:p w:rsidR="0014753E" w:rsidRPr="00031484" w:rsidRDefault="0014753E" w:rsidP="005A3468">
      <w:pPr>
        <w:spacing w:after="0" w:line="240" w:lineRule="auto"/>
        <w:rPr>
          <w:sz w:val="24"/>
        </w:rPr>
      </w:pPr>
    </w:p>
    <w:p w:rsidR="00375185" w:rsidRDefault="00394278" w:rsidP="005A3468">
      <w:pPr>
        <w:spacing w:after="0" w:line="240" w:lineRule="auto"/>
        <w:rPr>
          <w:sz w:val="24"/>
        </w:rPr>
      </w:pPr>
      <w:r w:rsidRPr="00031484">
        <w:rPr>
          <w:sz w:val="24"/>
        </w:rPr>
        <w:t>JFA Purple Orange</w:t>
      </w:r>
      <w:r w:rsidR="003F500E">
        <w:rPr>
          <w:sz w:val="24"/>
        </w:rPr>
        <w:t xml:space="preserve"> c</w:t>
      </w:r>
      <w:r w:rsidRPr="00031484">
        <w:rPr>
          <w:sz w:val="24"/>
        </w:rPr>
        <w:t>ommends the Senate Standing Committee on Community Affairs</w:t>
      </w:r>
      <w:r w:rsidR="009A2543">
        <w:rPr>
          <w:sz w:val="24"/>
        </w:rPr>
        <w:t xml:space="preserve"> and</w:t>
      </w:r>
      <w:r w:rsidRPr="00031484">
        <w:rPr>
          <w:sz w:val="24"/>
        </w:rPr>
        <w:t xml:space="preserve"> the heartfelt comments individuals made about </w:t>
      </w:r>
      <w:r w:rsidR="009C4B04">
        <w:rPr>
          <w:sz w:val="24"/>
        </w:rPr>
        <w:t>the inadequacy of residential aged care facilities. The comments highlight the importance of living in the community which brings with it</w:t>
      </w:r>
      <w:r w:rsidRPr="00031484">
        <w:rPr>
          <w:sz w:val="24"/>
        </w:rPr>
        <w:t xml:space="preserve"> choice and control</w:t>
      </w:r>
      <w:r w:rsidR="009C4B04">
        <w:rPr>
          <w:sz w:val="24"/>
        </w:rPr>
        <w:t>,</w:t>
      </w:r>
      <w:r w:rsidRPr="00031484">
        <w:rPr>
          <w:sz w:val="24"/>
        </w:rPr>
        <w:t xml:space="preserve"> valued roles in community life, </w:t>
      </w:r>
      <w:r w:rsidR="009C4B04">
        <w:rPr>
          <w:sz w:val="24"/>
        </w:rPr>
        <w:t xml:space="preserve">and </w:t>
      </w:r>
      <w:r w:rsidRPr="00031484">
        <w:rPr>
          <w:sz w:val="24"/>
        </w:rPr>
        <w:t>social connections bringing a sense of companionship, emotional support and belonging</w:t>
      </w:r>
      <w:r w:rsidR="009C4B04">
        <w:rPr>
          <w:sz w:val="24"/>
        </w:rPr>
        <w:t xml:space="preserve">. In other words, no different from the aspirations </w:t>
      </w:r>
      <w:r w:rsidR="009A2543">
        <w:rPr>
          <w:sz w:val="24"/>
        </w:rPr>
        <w:t>an able-bodied young person</w:t>
      </w:r>
      <w:r w:rsidR="009C4B04">
        <w:rPr>
          <w:sz w:val="24"/>
        </w:rPr>
        <w:t xml:space="preserve"> would have. </w:t>
      </w:r>
    </w:p>
    <w:p w:rsidR="009E3FA4" w:rsidRPr="00031484" w:rsidRDefault="009E3FA4" w:rsidP="005A3468">
      <w:pPr>
        <w:spacing w:after="0" w:line="240" w:lineRule="auto"/>
        <w:rPr>
          <w:sz w:val="24"/>
        </w:rPr>
      </w:pPr>
    </w:p>
    <w:p w:rsidR="009E3FA4" w:rsidRDefault="004B1F74" w:rsidP="005A3468">
      <w:pPr>
        <w:spacing w:after="0" w:line="240" w:lineRule="auto"/>
        <w:rPr>
          <w:sz w:val="24"/>
        </w:rPr>
      </w:pPr>
      <w:r>
        <w:rPr>
          <w:sz w:val="24"/>
        </w:rPr>
        <w:t>We r</w:t>
      </w:r>
      <w:r w:rsidR="00375185" w:rsidRPr="00031484">
        <w:rPr>
          <w:sz w:val="24"/>
        </w:rPr>
        <w:t>ecommend the Senate Community Affairs Committee</w:t>
      </w:r>
      <w:r w:rsidR="000040A8" w:rsidRPr="00031484">
        <w:rPr>
          <w:sz w:val="24"/>
        </w:rPr>
        <w:t>:</w:t>
      </w:r>
    </w:p>
    <w:p w:rsidR="006E33B9" w:rsidRPr="00031484" w:rsidRDefault="006E33B9" w:rsidP="005A3468">
      <w:pPr>
        <w:spacing w:after="0" w:line="240" w:lineRule="auto"/>
        <w:rPr>
          <w:sz w:val="24"/>
        </w:rPr>
      </w:pPr>
    </w:p>
    <w:p w:rsidR="006E33B9" w:rsidRPr="00DF300F" w:rsidRDefault="006E33B9" w:rsidP="005A3468">
      <w:pPr>
        <w:pStyle w:val="ListParagraph"/>
        <w:numPr>
          <w:ilvl w:val="0"/>
          <w:numId w:val="25"/>
        </w:numPr>
        <w:spacing w:after="0" w:line="240" w:lineRule="auto"/>
        <w:rPr>
          <w:szCs w:val="22"/>
        </w:rPr>
      </w:pPr>
      <w:r>
        <w:rPr>
          <w:szCs w:val="22"/>
        </w:rPr>
        <w:t>A</w:t>
      </w:r>
      <w:r w:rsidR="009B3826">
        <w:rPr>
          <w:szCs w:val="22"/>
        </w:rPr>
        <w:t>dopt the basic premise that it is never acceptable for a young person to live in a Residential Aged Care Facility.</w:t>
      </w:r>
    </w:p>
    <w:p w:rsidR="00DB386A" w:rsidRDefault="006E33B9" w:rsidP="005A3468">
      <w:pPr>
        <w:pStyle w:val="ListParagraph"/>
        <w:numPr>
          <w:ilvl w:val="0"/>
          <w:numId w:val="25"/>
        </w:numPr>
        <w:spacing w:after="0" w:line="240" w:lineRule="auto"/>
        <w:rPr>
          <w:szCs w:val="22"/>
        </w:rPr>
      </w:pPr>
      <w:r>
        <w:rPr>
          <w:szCs w:val="22"/>
        </w:rPr>
        <w:t>D</w:t>
      </w:r>
      <w:r w:rsidR="00DB386A">
        <w:rPr>
          <w:szCs w:val="22"/>
        </w:rPr>
        <w:t xml:space="preserve">evelop a national program which </w:t>
      </w:r>
      <w:r w:rsidR="00D1196F">
        <w:rPr>
          <w:szCs w:val="22"/>
        </w:rPr>
        <w:t xml:space="preserve">addresses </w:t>
      </w:r>
      <w:r w:rsidR="00DB386A">
        <w:rPr>
          <w:szCs w:val="22"/>
        </w:rPr>
        <w:t xml:space="preserve">the systemic failures at key transition points which contribute to young people living with disability being placed in residential aged care. This program </w:t>
      </w:r>
      <w:r>
        <w:rPr>
          <w:szCs w:val="22"/>
        </w:rPr>
        <w:t>should</w:t>
      </w:r>
      <w:r w:rsidR="00DB386A">
        <w:rPr>
          <w:szCs w:val="22"/>
        </w:rPr>
        <w:t>:</w:t>
      </w:r>
    </w:p>
    <w:p w:rsidR="00DB386A" w:rsidRDefault="006E33B9" w:rsidP="005A3468">
      <w:pPr>
        <w:pStyle w:val="ListParagraph"/>
        <w:numPr>
          <w:ilvl w:val="1"/>
          <w:numId w:val="25"/>
        </w:numPr>
        <w:spacing w:after="0" w:line="240" w:lineRule="auto"/>
        <w:rPr>
          <w:szCs w:val="22"/>
        </w:rPr>
      </w:pPr>
      <w:r>
        <w:rPr>
          <w:szCs w:val="22"/>
        </w:rPr>
        <w:t>t</w:t>
      </w:r>
      <w:r w:rsidR="00DB386A">
        <w:rPr>
          <w:szCs w:val="22"/>
        </w:rPr>
        <w:t xml:space="preserve">arget transition points </w:t>
      </w:r>
      <w:r w:rsidR="00D1196F">
        <w:rPr>
          <w:szCs w:val="22"/>
        </w:rPr>
        <w:t>such as</w:t>
      </w:r>
      <w:r w:rsidR="00DB386A">
        <w:rPr>
          <w:szCs w:val="22"/>
        </w:rPr>
        <w:t xml:space="preserve"> health (hospitals </w:t>
      </w:r>
      <w:r>
        <w:rPr>
          <w:szCs w:val="22"/>
        </w:rPr>
        <w:t xml:space="preserve">and </w:t>
      </w:r>
      <w:r w:rsidR="00DB386A">
        <w:rPr>
          <w:szCs w:val="22"/>
        </w:rPr>
        <w:t xml:space="preserve">rehabilitation services), </w:t>
      </w:r>
      <w:r w:rsidR="00D1196F">
        <w:rPr>
          <w:szCs w:val="22"/>
        </w:rPr>
        <w:t xml:space="preserve">crisis care, </w:t>
      </w:r>
      <w:r w:rsidR="00DB386A">
        <w:rPr>
          <w:szCs w:val="22"/>
        </w:rPr>
        <w:t>education and</w:t>
      </w:r>
      <w:r>
        <w:rPr>
          <w:szCs w:val="22"/>
        </w:rPr>
        <w:t xml:space="preserve"> </w:t>
      </w:r>
      <w:r w:rsidR="00D1196F">
        <w:rPr>
          <w:szCs w:val="22"/>
        </w:rPr>
        <w:t xml:space="preserve">arrangements </w:t>
      </w:r>
      <w:r>
        <w:rPr>
          <w:szCs w:val="22"/>
        </w:rPr>
        <w:t>with</w:t>
      </w:r>
      <w:r w:rsidR="00DB386A">
        <w:rPr>
          <w:szCs w:val="22"/>
        </w:rPr>
        <w:t xml:space="preserve"> ageing parents</w:t>
      </w:r>
      <w:r w:rsidR="00D1196F">
        <w:rPr>
          <w:szCs w:val="22"/>
        </w:rPr>
        <w:t xml:space="preserve"> and</w:t>
      </w:r>
    </w:p>
    <w:p w:rsidR="00DB386A" w:rsidRDefault="006E33B9" w:rsidP="005A3468">
      <w:pPr>
        <w:pStyle w:val="ListParagraph"/>
        <w:numPr>
          <w:ilvl w:val="1"/>
          <w:numId w:val="25"/>
        </w:numPr>
        <w:spacing w:after="0" w:line="240" w:lineRule="auto"/>
        <w:rPr>
          <w:szCs w:val="22"/>
        </w:rPr>
      </w:pPr>
      <w:r>
        <w:rPr>
          <w:szCs w:val="22"/>
        </w:rPr>
        <w:t>i</w:t>
      </w:r>
      <w:r w:rsidR="00DB386A">
        <w:rPr>
          <w:szCs w:val="22"/>
        </w:rPr>
        <w:t xml:space="preserve">nclude strategies which increase/release the capacity of people living with disability and their families to imagine a range of positive outcomes, plan and make informed choices. </w:t>
      </w:r>
    </w:p>
    <w:p w:rsidR="00DB386A" w:rsidRDefault="00DB386A" w:rsidP="005A3468">
      <w:pPr>
        <w:pStyle w:val="ListParagraph"/>
        <w:spacing w:after="0" w:line="240" w:lineRule="auto"/>
        <w:ind w:left="360"/>
        <w:rPr>
          <w:szCs w:val="22"/>
        </w:rPr>
      </w:pPr>
    </w:p>
    <w:p w:rsidR="005A3468" w:rsidRDefault="005A3468">
      <w:pPr>
        <w:rPr>
          <w:rFonts w:cstheme="minorHAnsi"/>
          <w:sz w:val="24"/>
        </w:rPr>
      </w:pPr>
      <w:r>
        <w:br w:type="page"/>
      </w:r>
    </w:p>
    <w:p w:rsidR="009B3826" w:rsidRDefault="009B3826" w:rsidP="005A3468">
      <w:pPr>
        <w:pStyle w:val="ListParagraph"/>
        <w:numPr>
          <w:ilvl w:val="0"/>
          <w:numId w:val="25"/>
        </w:numPr>
        <w:spacing w:after="0" w:line="240" w:lineRule="auto"/>
        <w:rPr>
          <w:szCs w:val="22"/>
        </w:rPr>
      </w:pPr>
      <w:r>
        <w:rPr>
          <w:szCs w:val="22"/>
        </w:rPr>
        <w:lastRenderedPageBreak/>
        <w:t xml:space="preserve">Endorse a clear set of values and principles </w:t>
      </w:r>
      <w:r w:rsidR="00DB386A">
        <w:rPr>
          <w:szCs w:val="22"/>
        </w:rPr>
        <w:t xml:space="preserve">for government, </w:t>
      </w:r>
      <w:r>
        <w:rPr>
          <w:szCs w:val="22"/>
        </w:rPr>
        <w:t xml:space="preserve">young people </w:t>
      </w:r>
      <w:r w:rsidR="009C4B04">
        <w:rPr>
          <w:szCs w:val="22"/>
        </w:rPr>
        <w:t xml:space="preserve">living </w:t>
      </w:r>
      <w:r>
        <w:rPr>
          <w:szCs w:val="22"/>
        </w:rPr>
        <w:t xml:space="preserve">with disability </w:t>
      </w:r>
      <w:r w:rsidR="00DB386A">
        <w:rPr>
          <w:szCs w:val="22"/>
        </w:rPr>
        <w:t xml:space="preserve">and their families to </w:t>
      </w:r>
      <w:r w:rsidR="002E6A61">
        <w:rPr>
          <w:szCs w:val="22"/>
        </w:rPr>
        <w:t>guide the decision making process. Values may include</w:t>
      </w:r>
      <w:r>
        <w:rPr>
          <w:szCs w:val="22"/>
        </w:rPr>
        <w:t>:</w:t>
      </w:r>
    </w:p>
    <w:p w:rsidR="009B3826" w:rsidRDefault="009B3826" w:rsidP="005A3468">
      <w:pPr>
        <w:pStyle w:val="ListParagraph"/>
        <w:numPr>
          <w:ilvl w:val="1"/>
          <w:numId w:val="25"/>
        </w:numPr>
        <w:spacing w:after="0" w:line="240" w:lineRule="auto"/>
        <w:rPr>
          <w:szCs w:val="22"/>
        </w:rPr>
      </w:pPr>
      <w:r>
        <w:rPr>
          <w:szCs w:val="22"/>
        </w:rPr>
        <w:t>Articulating the importance of power, choice and control</w:t>
      </w:r>
    </w:p>
    <w:p w:rsidR="009B3826" w:rsidRDefault="009B3826" w:rsidP="005A3468">
      <w:pPr>
        <w:pStyle w:val="ListParagraph"/>
        <w:numPr>
          <w:ilvl w:val="1"/>
          <w:numId w:val="25"/>
        </w:numPr>
        <w:spacing w:after="0" w:line="240" w:lineRule="auto"/>
        <w:rPr>
          <w:szCs w:val="22"/>
        </w:rPr>
      </w:pPr>
      <w:r>
        <w:rPr>
          <w:szCs w:val="22"/>
        </w:rPr>
        <w:t>The preference for young people to live</w:t>
      </w:r>
      <w:r w:rsidR="00F72A3C">
        <w:rPr>
          <w:szCs w:val="22"/>
        </w:rPr>
        <w:t xml:space="preserve"> in,</w:t>
      </w:r>
      <w:r>
        <w:rPr>
          <w:szCs w:val="22"/>
        </w:rPr>
        <w:t xml:space="preserve"> or return to</w:t>
      </w:r>
      <w:r w:rsidR="00F72A3C">
        <w:rPr>
          <w:szCs w:val="22"/>
        </w:rPr>
        <w:t>,</w:t>
      </w:r>
      <w:r>
        <w:rPr>
          <w:szCs w:val="22"/>
        </w:rPr>
        <w:t xml:space="preserve"> their family or community</w:t>
      </w:r>
    </w:p>
    <w:p w:rsidR="009B3826" w:rsidRDefault="009B3826" w:rsidP="005A3468">
      <w:pPr>
        <w:pStyle w:val="ListParagraph"/>
        <w:numPr>
          <w:ilvl w:val="1"/>
          <w:numId w:val="25"/>
        </w:numPr>
        <w:spacing w:after="0" w:line="240" w:lineRule="auto"/>
        <w:rPr>
          <w:szCs w:val="22"/>
        </w:rPr>
      </w:pPr>
      <w:r>
        <w:rPr>
          <w:szCs w:val="22"/>
        </w:rPr>
        <w:t>The importance of capacity building for individuals for informed decision making</w:t>
      </w:r>
    </w:p>
    <w:p w:rsidR="009B3826" w:rsidRDefault="009B3826" w:rsidP="005A3468">
      <w:pPr>
        <w:pStyle w:val="ListParagraph"/>
        <w:numPr>
          <w:ilvl w:val="1"/>
          <w:numId w:val="25"/>
        </w:numPr>
        <w:spacing w:after="0" w:line="240" w:lineRule="auto"/>
        <w:rPr>
          <w:szCs w:val="22"/>
        </w:rPr>
      </w:pPr>
      <w:r>
        <w:rPr>
          <w:szCs w:val="22"/>
        </w:rPr>
        <w:t>Providing an environment which is responsive and flexible to individuals</w:t>
      </w:r>
    </w:p>
    <w:p w:rsidR="009B3826" w:rsidRDefault="009B3826" w:rsidP="005A3468">
      <w:pPr>
        <w:pStyle w:val="ListParagraph"/>
        <w:numPr>
          <w:ilvl w:val="1"/>
          <w:numId w:val="25"/>
        </w:numPr>
        <w:spacing w:after="0" w:line="240" w:lineRule="auto"/>
        <w:rPr>
          <w:szCs w:val="22"/>
        </w:rPr>
      </w:pPr>
      <w:r>
        <w:rPr>
          <w:szCs w:val="22"/>
        </w:rPr>
        <w:t>The availability of flexible funding, support and assistance.</w:t>
      </w:r>
    </w:p>
    <w:p w:rsidR="000E4E56" w:rsidRDefault="000E4E56" w:rsidP="005A3468">
      <w:pPr>
        <w:pStyle w:val="ListParagraph"/>
        <w:spacing w:after="0" w:line="240" w:lineRule="auto"/>
        <w:ind w:left="1080"/>
        <w:rPr>
          <w:szCs w:val="22"/>
        </w:rPr>
      </w:pPr>
    </w:p>
    <w:p w:rsidR="009B3826" w:rsidRDefault="009B3826" w:rsidP="005A3468">
      <w:pPr>
        <w:pStyle w:val="ListParagraph"/>
        <w:numPr>
          <w:ilvl w:val="0"/>
          <w:numId w:val="25"/>
        </w:numPr>
        <w:spacing w:after="0" w:line="240" w:lineRule="auto"/>
        <w:rPr>
          <w:szCs w:val="22"/>
        </w:rPr>
      </w:pPr>
      <w:r w:rsidRPr="0054393D">
        <w:rPr>
          <w:szCs w:val="22"/>
        </w:rPr>
        <w:t xml:space="preserve">Consider the opportunities and options provided through </w:t>
      </w:r>
      <w:r>
        <w:rPr>
          <w:szCs w:val="22"/>
        </w:rPr>
        <w:t xml:space="preserve">a framework such as </w:t>
      </w:r>
      <w:r w:rsidR="00F72A3C" w:rsidRPr="003F185F">
        <w:rPr>
          <w:szCs w:val="22"/>
        </w:rPr>
        <w:t>T</w:t>
      </w:r>
      <w:r w:rsidRPr="003F185F">
        <w:rPr>
          <w:szCs w:val="22"/>
        </w:rPr>
        <w:t>he</w:t>
      </w:r>
      <w:r w:rsidRPr="008376D9">
        <w:rPr>
          <w:i/>
          <w:szCs w:val="22"/>
        </w:rPr>
        <w:t xml:space="preserve"> Model of Citizenhood Support</w:t>
      </w:r>
      <w:r w:rsidR="002B6111">
        <w:rPr>
          <w:rStyle w:val="FootnoteReference"/>
          <w:szCs w:val="22"/>
        </w:rPr>
        <w:footnoteReference w:id="1"/>
      </w:r>
      <w:r w:rsidRPr="0054393D">
        <w:rPr>
          <w:szCs w:val="22"/>
        </w:rPr>
        <w:t>,</w:t>
      </w:r>
      <w:r>
        <w:rPr>
          <w:szCs w:val="22"/>
        </w:rPr>
        <w:t xml:space="preserve"> </w:t>
      </w:r>
      <w:r w:rsidRPr="0054393D">
        <w:rPr>
          <w:szCs w:val="22"/>
        </w:rPr>
        <w:t>which employs strategies and actions to facilitate choice, participation and autonomy</w:t>
      </w:r>
      <w:r>
        <w:rPr>
          <w:szCs w:val="22"/>
        </w:rPr>
        <w:t>.</w:t>
      </w:r>
    </w:p>
    <w:p w:rsidR="00C17399" w:rsidRPr="00FF23AF" w:rsidRDefault="00C17399" w:rsidP="005A3468">
      <w:pPr>
        <w:spacing w:after="0" w:line="240" w:lineRule="auto"/>
      </w:pPr>
    </w:p>
    <w:p w:rsidR="00C454CD" w:rsidRPr="0028488A" w:rsidRDefault="00C454CD" w:rsidP="005A3468">
      <w:pPr>
        <w:pStyle w:val="ListParagraph"/>
        <w:numPr>
          <w:ilvl w:val="0"/>
          <w:numId w:val="25"/>
        </w:numPr>
        <w:spacing w:after="0" w:line="240" w:lineRule="auto"/>
        <w:rPr>
          <w:szCs w:val="22"/>
        </w:rPr>
      </w:pPr>
      <w:r>
        <w:rPr>
          <w:lang w:val="en"/>
        </w:rPr>
        <w:t>Explore pathways to contemporary models to enable individuals to have genuine choice in their housing. These might include:</w:t>
      </w:r>
    </w:p>
    <w:p w:rsidR="00C17399" w:rsidRDefault="00C17399" w:rsidP="005A3468">
      <w:pPr>
        <w:pStyle w:val="ListParagraph"/>
        <w:numPr>
          <w:ilvl w:val="1"/>
          <w:numId w:val="25"/>
        </w:numPr>
        <w:spacing w:after="0" w:line="240" w:lineRule="auto"/>
        <w:rPr>
          <w:lang w:val="en"/>
        </w:rPr>
      </w:pPr>
      <w:r>
        <w:rPr>
          <w:lang w:val="en"/>
        </w:rPr>
        <w:t>Living with family with appropriate building modifications</w:t>
      </w:r>
    </w:p>
    <w:p w:rsidR="00C17399" w:rsidRDefault="00C17399" w:rsidP="005A3468">
      <w:pPr>
        <w:pStyle w:val="ListParagraph"/>
        <w:numPr>
          <w:ilvl w:val="1"/>
          <w:numId w:val="25"/>
        </w:numPr>
        <w:spacing w:after="0" w:line="240" w:lineRule="auto"/>
        <w:rPr>
          <w:lang w:val="en"/>
        </w:rPr>
      </w:pPr>
      <w:r>
        <w:rPr>
          <w:lang w:val="en"/>
        </w:rPr>
        <w:t xml:space="preserve">Co-tenancy with friends or </w:t>
      </w:r>
      <w:r w:rsidR="003D132D">
        <w:rPr>
          <w:lang w:val="en"/>
        </w:rPr>
        <w:t>flat mates</w:t>
      </w:r>
      <w:r>
        <w:rPr>
          <w:lang w:val="en"/>
        </w:rPr>
        <w:t xml:space="preserve"> in private rental or affordable housing</w:t>
      </w:r>
    </w:p>
    <w:p w:rsidR="00C17399" w:rsidRDefault="00C17399" w:rsidP="005A3468">
      <w:pPr>
        <w:pStyle w:val="ListParagraph"/>
        <w:numPr>
          <w:ilvl w:val="1"/>
          <w:numId w:val="25"/>
        </w:numPr>
        <w:spacing w:after="0" w:line="240" w:lineRule="auto"/>
        <w:rPr>
          <w:lang w:val="en"/>
        </w:rPr>
      </w:pPr>
      <w:r>
        <w:rPr>
          <w:lang w:val="en"/>
        </w:rPr>
        <w:t>Living alone with support as required in private rental or affordable housing</w:t>
      </w:r>
    </w:p>
    <w:p w:rsidR="00C17399" w:rsidRDefault="00C17399" w:rsidP="005A3468">
      <w:pPr>
        <w:pStyle w:val="ListParagraph"/>
        <w:numPr>
          <w:ilvl w:val="1"/>
          <w:numId w:val="25"/>
        </w:numPr>
        <w:spacing w:after="0" w:line="240" w:lineRule="auto"/>
        <w:rPr>
          <w:lang w:val="en"/>
        </w:rPr>
      </w:pPr>
      <w:r>
        <w:rPr>
          <w:lang w:val="en"/>
        </w:rPr>
        <w:t>Home-share options where a person with disability shares accommodation with someone without disability (often a student) for reduced or no rent in exchange for support around the home</w:t>
      </w:r>
    </w:p>
    <w:p w:rsidR="00C17399" w:rsidRDefault="00C17399" w:rsidP="005A3468">
      <w:pPr>
        <w:pStyle w:val="ListParagraph"/>
        <w:numPr>
          <w:ilvl w:val="1"/>
          <w:numId w:val="25"/>
        </w:numPr>
        <w:spacing w:after="0" w:line="240" w:lineRule="auto"/>
        <w:rPr>
          <w:lang w:val="en"/>
        </w:rPr>
      </w:pPr>
      <w:r>
        <w:rPr>
          <w:lang w:val="en"/>
        </w:rPr>
        <w:t xml:space="preserve">Attendant care – individual dwellings </w:t>
      </w:r>
      <w:r w:rsidR="003F185F">
        <w:rPr>
          <w:lang w:val="en"/>
        </w:rPr>
        <w:t>dispersed</w:t>
      </w:r>
      <w:r>
        <w:rPr>
          <w:lang w:val="en"/>
        </w:rPr>
        <w:t xml:space="preserve"> within a suburb</w:t>
      </w:r>
      <w:r w:rsidR="003F185F">
        <w:rPr>
          <w:lang w:val="en"/>
        </w:rPr>
        <w:t xml:space="preserve">, where tenants </w:t>
      </w:r>
      <w:r>
        <w:rPr>
          <w:lang w:val="en"/>
        </w:rPr>
        <w:t>use the same support</w:t>
      </w:r>
      <w:r w:rsidR="003F185F">
        <w:rPr>
          <w:lang w:val="en"/>
        </w:rPr>
        <w:t xml:space="preserve"> agency/support agency staff</w:t>
      </w:r>
    </w:p>
    <w:p w:rsidR="00C17399" w:rsidRDefault="00C17399" w:rsidP="005A3468">
      <w:pPr>
        <w:pStyle w:val="ListParagraph"/>
        <w:numPr>
          <w:ilvl w:val="1"/>
          <w:numId w:val="25"/>
        </w:numPr>
        <w:spacing w:after="0" w:line="240" w:lineRule="auto"/>
        <w:rPr>
          <w:lang w:val="en"/>
        </w:rPr>
      </w:pPr>
      <w:r>
        <w:rPr>
          <w:lang w:val="en"/>
        </w:rPr>
        <w:t>Mini-cluster housing – two or three units on one site with support as required</w:t>
      </w:r>
      <w:r w:rsidR="00CC4D80">
        <w:rPr>
          <w:lang w:val="en"/>
        </w:rPr>
        <w:t>.</w:t>
      </w:r>
    </w:p>
    <w:p w:rsidR="00C454CD" w:rsidRPr="00E52762" w:rsidRDefault="00C454CD" w:rsidP="005A3468">
      <w:pPr>
        <w:spacing w:after="0" w:line="240" w:lineRule="auto"/>
      </w:pPr>
    </w:p>
    <w:p w:rsidR="00A145EA" w:rsidRPr="0054393D" w:rsidRDefault="00A145EA" w:rsidP="005A3468">
      <w:pPr>
        <w:pStyle w:val="ListParagraph"/>
        <w:spacing w:after="0" w:line="240" w:lineRule="auto"/>
        <w:ind w:left="1080"/>
        <w:rPr>
          <w:szCs w:val="22"/>
        </w:rPr>
      </w:pPr>
      <w:r>
        <w:rPr>
          <w:szCs w:val="22"/>
        </w:rPr>
        <w:t xml:space="preserve">   </w:t>
      </w:r>
    </w:p>
    <w:p w:rsidR="0014753E" w:rsidRDefault="0014753E" w:rsidP="005A3468">
      <w:pPr>
        <w:spacing w:after="0" w:line="240" w:lineRule="auto"/>
        <w:rPr>
          <w:rFonts w:cstheme="minorHAnsi"/>
          <w:b/>
          <w:color w:val="522E91"/>
          <w:sz w:val="32"/>
          <w:szCs w:val="32"/>
        </w:rPr>
      </w:pPr>
      <w:r>
        <w:br w:type="page"/>
      </w:r>
    </w:p>
    <w:p w:rsidR="00427F6F" w:rsidRDefault="00670BBA" w:rsidP="00244C7B">
      <w:pPr>
        <w:pStyle w:val="Heading1"/>
      </w:pPr>
      <w:bookmarkStart w:id="3" w:name="_Toc412197779"/>
      <w:r>
        <w:lastRenderedPageBreak/>
        <w:t>Introduction</w:t>
      </w:r>
      <w:bookmarkEnd w:id="3"/>
      <w:r>
        <w:t xml:space="preserve"> </w:t>
      </w:r>
    </w:p>
    <w:p w:rsidR="0059358A" w:rsidRPr="0059358A" w:rsidRDefault="0059358A" w:rsidP="0059358A"/>
    <w:p w:rsidR="00670BBA" w:rsidRPr="00244C7B" w:rsidRDefault="00A84DFF" w:rsidP="00244C7B">
      <w:pPr>
        <w:pStyle w:val="Heading2"/>
      </w:pPr>
      <w:bookmarkStart w:id="4" w:name="_Toc412197780"/>
      <w:r w:rsidRPr="00244C7B">
        <w:t xml:space="preserve">JFA </w:t>
      </w:r>
      <w:r w:rsidR="00670BBA" w:rsidRPr="00244C7B">
        <w:t>Purple Orange</w:t>
      </w:r>
      <w:bookmarkEnd w:id="4"/>
      <w:r w:rsidR="00725879">
        <w:br/>
      </w:r>
    </w:p>
    <w:p w:rsidR="00C3091F" w:rsidRDefault="00C3091F" w:rsidP="00266C07">
      <w:pPr>
        <w:pStyle w:val="ListParagraph"/>
        <w:spacing w:after="0" w:line="240" w:lineRule="auto"/>
        <w:ind w:left="0"/>
        <w:contextualSpacing w:val="0"/>
        <w:rPr>
          <w:szCs w:val="22"/>
          <w:lang w:val="en-US"/>
        </w:rPr>
      </w:pPr>
      <w:r w:rsidRPr="00266C07">
        <w:rPr>
          <w:szCs w:val="22"/>
          <w:lang w:val="en-US"/>
        </w:rPr>
        <w:t>JFA Purple Orange applauds the Senate</w:t>
      </w:r>
      <w:r w:rsidR="00484B01" w:rsidRPr="00266C07">
        <w:rPr>
          <w:szCs w:val="22"/>
          <w:lang w:val="en-US"/>
        </w:rPr>
        <w:t xml:space="preserve"> Standing Committee on Community Affairs’</w:t>
      </w:r>
      <w:r w:rsidR="000A052C" w:rsidRPr="00266C07">
        <w:rPr>
          <w:szCs w:val="22"/>
          <w:lang w:val="en-US"/>
        </w:rPr>
        <w:t xml:space="preserve"> </w:t>
      </w:r>
      <w:r w:rsidRPr="00266C07">
        <w:rPr>
          <w:szCs w:val="22"/>
          <w:lang w:val="en-US"/>
        </w:rPr>
        <w:t>commitment to achieving appropriate and just outcomes for people living with disability</w:t>
      </w:r>
      <w:r w:rsidR="009E2A6B" w:rsidRPr="00266C07">
        <w:rPr>
          <w:szCs w:val="22"/>
          <w:lang w:val="en-US"/>
        </w:rPr>
        <w:t>, and appreciates the opportunity to provide a submission</w:t>
      </w:r>
      <w:r w:rsidR="00484B01" w:rsidRPr="00266C07">
        <w:rPr>
          <w:szCs w:val="22"/>
          <w:lang w:val="en-US"/>
        </w:rPr>
        <w:t xml:space="preserve"> to the Inquiry on “the adequacy of existing residential care arrangements for young people with severe physical</w:t>
      </w:r>
      <w:r w:rsidR="00B57584" w:rsidRPr="00266C07">
        <w:rPr>
          <w:szCs w:val="22"/>
          <w:lang w:val="en-US"/>
        </w:rPr>
        <w:t>,</w:t>
      </w:r>
      <w:r w:rsidR="00484B01" w:rsidRPr="00266C07">
        <w:rPr>
          <w:szCs w:val="22"/>
          <w:lang w:val="en-US"/>
        </w:rPr>
        <w:t xml:space="preserve"> mental or intellectual disabilities in Australia”</w:t>
      </w:r>
      <w:r w:rsidR="009E2A6B" w:rsidRPr="00266C07">
        <w:rPr>
          <w:szCs w:val="22"/>
          <w:lang w:val="en-US"/>
        </w:rPr>
        <w:t>.</w:t>
      </w:r>
    </w:p>
    <w:p w:rsidR="0014753E" w:rsidRPr="00266C07" w:rsidRDefault="0014753E" w:rsidP="00266C07">
      <w:pPr>
        <w:pStyle w:val="ListParagraph"/>
        <w:spacing w:after="0" w:line="240" w:lineRule="auto"/>
        <w:ind w:left="0"/>
        <w:contextualSpacing w:val="0"/>
        <w:rPr>
          <w:szCs w:val="22"/>
          <w:lang w:val="en-US"/>
        </w:rPr>
      </w:pPr>
    </w:p>
    <w:p w:rsidR="00C3091F" w:rsidRDefault="00C3091F" w:rsidP="00266C07">
      <w:pPr>
        <w:autoSpaceDE w:val="0"/>
        <w:autoSpaceDN w:val="0"/>
        <w:adjustRightInd w:val="0"/>
        <w:spacing w:after="0" w:line="240" w:lineRule="auto"/>
        <w:rPr>
          <w:rFonts w:cs="Calibri"/>
          <w:sz w:val="24"/>
          <w:lang w:eastAsia="en-AU"/>
        </w:rPr>
      </w:pPr>
      <w:r w:rsidRPr="00266C07">
        <w:rPr>
          <w:rFonts w:cs="Calibri"/>
          <w:sz w:val="24"/>
          <w:lang w:eastAsia="en-AU"/>
        </w:rPr>
        <w:t xml:space="preserve">JFA Purple Orange is the social policy </w:t>
      </w:r>
      <w:r w:rsidR="00DF3108">
        <w:rPr>
          <w:rFonts w:cs="Calibri"/>
          <w:sz w:val="24"/>
          <w:lang w:eastAsia="en-AU"/>
        </w:rPr>
        <w:t>agency</w:t>
      </w:r>
      <w:r w:rsidR="00DF3108" w:rsidRPr="00266C07">
        <w:rPr>
          <w:rFonts w:cs="Calibri"/>
          <w:sz w:val="24"/>
          <w:lang w:eastAsia="en-AU"/>
        </w:rPr>
        <w:t xml:space="preserve"> </w:t>
      </w:r>
      <w:r w:rsidRPr="00266C07">
        <w:rPr>
          <w:rFonts w:cs="Calibri"/>
          <w:sz w:val="24"/>
          <w:lang w:eastAsia="en-AU"/>
        </w:rPr>
        <w:t xml:space="preserve">of the </w:t>
      </w:r>
      <w:r w:rsidR="00A84DFF" w:rsidRPr="00266C07">
        <w:rPr>
          <w:sz w:val="24"/>
          <w:lang w:val="en"/>
        </w:rPr>
        <w:t xml:space="preserve">Julia Farr group, a trio of social profit, non-government organisations </w:t>
      </w:r>
      <w:r w:rsidR="00B20C04" w:rsidRPr="00266C07">
        <w:rPr>
          <w:sz w:val="24"/>
          <w:lang w:val="en"/>
        </w:rPr>
        <w:t xml:space="preserve">based in South Australia, </w:t>
      </w:r>
      <w:r w:rsidR="00A84DFF" w:rsidRPr="00266C07">
        <w:rPr>
          <w:sz w:val="24"/>
          <w:lang w:val="en"/>
        </w:rPr>
        <w:t>working to improve the life chances of people living with disability</w:t>
      </w:r>
      <w:r w:rsidRPr="00266C07">
        <w:rPr>
          <w:rFonts w:cs="Calibri"/>
          <w:sz w:val="24"/>
          <w:lang w:eastAsia="en-AU"/>
        </w:rPr>
        <w:t>.</w:t>
      </w:r>
      <w:r w:rsidR="00484B01" w:rsidRPr="00266C07">
        <w:rPr>
          <w:rFonts w:cs="Calibri"/>
          <w:sz w:val="24"/>
          <w:lang w:eastAsia="en-AU"/>
        </w:rPr>
        <w:t xml:space="preserve"> The Julia Farr group (JFA Purple Orange, Julia Farr Housing Association, and the Julia Farr Trust and</w:t>
      </w:r>
      <w:r w:rsidR="00DF3108">
        <w:rPr>
          <w:rFonts w:cs="Calibri"/>
          <w:sz w:val="24"/>
          <w:lang w:eastAsia="en-AU"/>
        </w:rPr>
        <w:t xml:space="preserve"> Julia Farr MS McLeod</w:t>
      </w:r>
      <w:r w:rsidR="00484B01" w:rsidRPr="00266C07">
        <w:rPr>
          <w:rFonts w:cs="Calibri"/>
          <w:sz w:val="24"/>
          <w:lang w:eastAsia="en-AU"/>
        </w:rPr>
        <w:t xml:space="preserve"> </w:t>
      </w:r>
      <w:r w:rsidR="00B57584" w:rsidRPr="00266C07">
        <w:rPr>
          <w:rFonts w:cs="Calibri"/>
          <w:sz w:val="24"/>
          <w:lang w:eastAsia="en-AU"/>
        </w:rPr>
        <w:t>B</w:t>
      </w:r>
      <w:r w:rsidR="00484B01" w:rsidRPr="00266C07">
        <w:rPr>
          <w:rFonts w:cs="Calibri"/>
          <w:sz w:val="24"/>
          <w:lang w:eastAsia="en-AU"/>
        </w:rPr>
        <w:t xml:space="preserve">enevolent Funds) </w:t>
      </w:r>
      <w:r w:rsidRPr="00266C07">
        <w:rPr>
          <w:rFonts w:cs="Calibri"/>
          <w:sz w:val="24"/>
          <w:lang w:eastAsia="en-AU"/>
        </w:rPr>
        <w:t xml:space="preserve">and its predecessor organisations have been involved with the disability community, older people and other vulnerable groups for more than 130 years. </w:t>
      </w:r>
      <w:r w:rsidR="00484B01" w:rsidRPr="00266C07">
        <w:rPr>
          <w:rFonts w:cs="Calibri"/>
          <w:sz w:val="24"/>
          <w:lang w:eastAsia="en-AU"/>
        </w:rPr>
        <w:t>We are</w:t>
      </w:r>
      <w:r w:rsidRPr="00266C07">
        <w:rPr>
          <w:rFonts w:cs="Calibri"/>
          <w:sz w:val="24"/>
          <w:lang w:eastAsia="en-AU"/>
        </w:rPr>
        <w:t xml:space="preserve"> an independent, non-government </w:t>
      </w:r>
      <w:r w:rsidR="00CF4F99">
        <w:rPr>
          <w:rFonts w:cs="Calibri"/>
          <w:sz w:val="24"/>
          <w:lang w:eastAsia="en-AU"/>
        </w:rPr>
        <w:t>organisation</w:t>
      </w:r>
      <w:r w:rsidR="00CF4F99" w:rsidRPr="00266C07">
        <w:rPr>
          <w:rFonts w:cs="Calibri"/>
          <w:sz w:val="24"/>
          <w:lang w:eastAsia="en-AU"/>
        </w:rPr>
        <w:t xml:space="preserve"> </w:t>
      </w:r>
      <w:r w:rsidRPr="00266C07">
        <w:rPr>
          <w:rFonts w:cs="Calibri"/>
          <w:sz w:val="24"/>
          <w:lang w:eastAsia="en-AU"/>
        </w:rPr>
        <w:t xml:space="preserve">that fosters innovation, shares useful information, and promotes policy and practice that support and improve the life chances of people living with disability. </w:t>
      </w:r>
    </w:p>
    <w:p w:rsidR="00CF4F99" w:rsidRPr="00266C07" w:rsidRDefault="00CF4F99" w:rsidP="00266C07">
      <w:pPr>
        <w:autoSpaceDE w:val="0"/>
        <w:autoSpaceDN w:val="0"/>
        <w:adjustRightInd w:val="0"/>
        <w:spacing w:after="0" w:line="240" w:lineRule="auto"/>
        <w:rPr>
          <w:rFonts w:cs="Calibri"/>
          <w:sz w:val="24"/>
          <w:lang w:eastAsia="en-AU"/>
        </w:rPr>
      </w:pPr>
    </w:p>
    <w:p w:rsidR="00A84DFF" w:rsidRDefault="00C3091F" w:rsidP="00266C07">
      <w:pPr>
        <w:spacing w:after="0" w:line="240" w:lineRule="auto"/>
        <w:rPr>
          <w:rFonts w:cs="Calibri"/>
          <w:sz w:val="24"/>
          <w:lang w:eastAsia="en-AU"/>
        </w:rPr>
      </w:pPr>
      <w:r w:rsidRPr="00266C07">
        <w:rPr>
          <w:rFonts w:cs="Calibri"/>
          <w:sz w:val="24"/>
          <w:lang w:eastAsia="en-AU"/>
        </w:rPr>
        <w:t xml:space="preserve">JFA Purple Orange is not a service provider – we deliver research, evaluation and information services anchored upon the stories </w:t>
      </w:r>
      <w:r w:rsidR="00BF00B2" w:rsidRPr="00266C07">
        <w:rPr>
          <w:rFonts w:cs="Calibri"/>
          <w:sz w:val="24"/>
          <w:lang w:eastAsia="en-AU"/>
        </w:rPr>
        <w:t xml:space="preserve">and experiences </w:t>
      </w:r>
      <w:r w:rsidRPr="00266C07">
        <w:rPr>
          <w:rFonts w:cs="Calibri"/>
          <w:sz w:val="24"/>
          <w:lang w:eastAsia="en-AU"/>
        </w:rPr>
        <w:t xml:space="preserve">shared by people </w:t>
      </w:r>
      <w:r w:rsidR="00484B01" w:rsidRPr="00266C07">
        <w:rPr>
          <w:rFonts w:cs="Calibri"/>
          <w:sz w:val="24"/>
          <w:lang w:eastAsia="en-AU"/>
        </w:rPr>
        <w:t>with a lived experience of</w:t>
      </w:r>
      <w:r w:rsidRPr="00266C07">
        <w:rPr>
          <w:rFonts w:cs="Calibri"/>
          <w:sz w:val="24"/>
          <w:lang w:eastAsia="en-AU"/>
        </w:rPr>
        <w:t xml:space="preserve"> disability and other</w:t>
      </w:r>
      <w:r w:rsidR="00484B01" w:rsidRPr="00266C07">
        <w:rPr>
          <w:rFonts w:cs="Calibri"/>
          <w:sz w:val="24"/>
          <w:lang w:eastAsia="en-AU"/>
        </w:rPr>
        <w:t xml:space="preserve">s </w:t>
      </w:r>
      <w:r w:rsidRPr="00266C07">
        <w:rPr>
          <w:rFonts w:cs="Calibri"/>
          <w:sz w:val="24"/>
          <w:lang w:eastAsia="en-AU"/>
        </w:rPr>
        <w:t>in their lives.</w:t>
      </w:r>
    </w:p>
    <w:p w:rsidR="0014753E" w:rsidRPr="00266C07" w:rsidRDefault="0014753E" w:rsidP="00266C07">
      <w:pPr>
        <w:spacing w:after="0" w:line="240" w:lineRule="auto"/>
        <w:rPr>
          <w:rFonts w:cs="Calibri"/>
          <w:sz w:val="24"/>
          <w:lang w:eastAsia="en-AU"/>
        </w:rPr>
      </w:pPr>
    </w:p>
    <w:p w:rsidR="00C108E0" w:rsidRPr="00244C7B" w:rsidRDefault="00C108E0" w:rsidP="00244C7B">
      <w:pPr>
        <w:pStyle w:val="Heading2"/>
        <w:rPr>
          <w:lang w:eastAsia="en-AU"/>
        </w:rPr>
      </w:pPr>
      <w:bookmarkStart w:id="5" w:name="_Toc412197781"/>
      <w:r w:rsidRPr="00244C7B">
        <w:rPr>
          <w:lang w:eastAsia="en-AU"/>
        </w:rPr>
        <w:t>International and National Contexts</w:t>
      </w:r>
      <w:bookmarkEnd w:id="5"/>
      <w:r w:rsidR="00725879">
        <w:rPr>
          <w:lang w:eastAsia="en-AU"/>
        </w:rPr>
        <w:br/>
      </w:r>
    </w:p>
    <w:p w:rsidR="005B1FAA" w:rsidRPr="00266C07" w:rsidRDefault="005B1FAA" w:rsidP="00266C07">
      <w:pPr>
        <w:spacing w:after="0" w:line="240" w:lineRule="auto"/>
        <w:rPr>
          <w:sz w:val="24"/>
        </w:rPr>
      </w:pPr>
      <w:r w:rsidRPr="00266C07">
        <w:rPr>
          <w:sz w:val="24"/>
        </w:rPr>
        <w:t xml:space="preserve">The </w:t>
      </w:r>
      <w:r w:rsidR="00FA7806" w:rsidRPr="00266C07">
        <w:rPr>
          <w:sz w:val="24"/>
        </w:rPr>
        <w:t>matters</w:t>
      </w:r>
      <w:r w:rsidRPr="00266C07">
        <w:rPr>
          <w:sz w:val="24"/>
        </w:rPr>
        <w:t xml:space="preserve"> outlined in the Senate Inquiry </w:t>
      </w:r>
      <w:r w:rsidR="00CF4F99" w:rsidRPr="00266C07">
        <w:rPr>
          <w:sz w:val="24"/>
        </w:rPr>
        <w:t>T</w:t>
      </w:r>
      <w:r w:rsidRPr="00266C07">
        <w:rPr>
          <w:sz w:val="24"/>
        </w:rPr>
        <w:t xml:space="preserve">erms of </w:t>
      </w:r>
      <w:r w:rsidR="00CF4F99" w:rsidRPr="00266C07">
        <w:rPr>
          <w:sz w:val="24"/>
        </w:rPr>
        <w:t>R</w:t>
      </w:r>
      <w:r w:rsidRPr="00266C07">
        <w:rPr>
          <w:sz w:val="24"/>
        </w:rPr>
        <w:t xml:space="preserve">eference highlight some of the </w:t>
      </w:r>
      <w:r w:rsidR="00484B01" w:rsidRPr="00266C07">
        <w:rPr>
          <w:sz w:val="24"/>
        </w:rPr>
        <w:t xml:space="preserve">key </w:t>
      </w:r>
      <w:r w:rsidRPr="00266C07">
        <w:rPr>
          <w:sz w:val="24"/>
        </w:rPr>
        <w:t>factors which may impede or assist young</w:t>
      </w:r>
      <w:r w:rsidR="00484B01" w:rsidRPr="00266C07">
        <w:rPr>
          <w:sz w:val="24"/>
        </w:rPr>
        <w:t>er</w:t>
      </w:r>
      <w:r w:rsidRPr="00266C07">
        <w:rPr>
          <w:sz w:val="24"/>
        </w:rPr>
        <w:t xml:space="preserve"> people living with disability from experiencing the community inclusion and participation</w:t>
      </w:r>
      <w:r w:rsidR="0033365A">
        <w:rPr>
          <w:sz w:val="24"/>
        </w:rPr>
        <w:t xml:space="preserve"> stipulated in</w:t>
      </w:r>
      <w:r w:rsidR="00484B01" w:rsidRPr="00266C07">
        <w:rPr>
          <w:sz w:val="24"/>
        </w:rPr>
        <w:t xml:space="preserve"> </w:t>
      </w:r>
      <w:r w:rsidRPr="00266C07">
        <w:rPr>
          <w:sz w:val="24"/>
        </w:rPr>
        <w:t xml:space="preserve">the </w:t>
      </w:r>
      <w:r w:rsidRPr="00266C07">
        <w:rPr>
          <w:rFonts w:cs="Calibri"/>
          <w:sz w:val="24"/>
          <w:lang w:eastAsia="en-AU"/>
        </w:rPr>
        <w:t>United Nations Convention on the Rights of Persons with Disabilities (</w:t>
      </w:r>
      <w:r w:rsidRPr="00266C07">
        <w:rPr>
          <w:sz w:val="24"/>
        </w:rPr>
        <w:t>UNCRPD)</w:t>
      </w:r>
      <w:r w:rsidR="0033365A">
        <w:rPr>
          <w:sz w:val="24"/>
        </w:rPr>
        <w:t>, ratified by the Australian Government</w:t>
      </w:r>
      <w:r w:rsidRPr="00266C07">
        <w:rPr>
          <w:sz w:val="24"/>
        </w:rPr>
        <w:t xml:space="preserve"> and endorsed by the National Disability Strategy</w:t>
      </w:r>
      <w:r w:rsidR="00484B01" w:rsidRPr="00266C07">
        <w:rPr>
          <w:sz w:val="24"/>
        </w:rPr>
        <w:t xml:space="preserve"> 2010-2020</w:t>
      </w:r>
      <w:r w:rsidR="000A052C" w:rsidRPr="00266C07">
        <w:rPr>
          <w:sz w:val="24"/>
        </w:rPr>
        <w:t xml:space="preserve">. </w:t>
      </w:r>
    </w:p>
    <w:p w:rsidR="00CF4F99" w:rsidRDefault="00CF4F99" w:rsidP="00266C07">
      <w:pPr>
        <w:spacing w:after="0" w:line="240" w:lineRule="auto"/>
      </w:pPr>
    </w:p>
    <w:p w:rsidR="00C108E0" w:rsidRPr="00244C7B" w:rsidRDefault="00C108E0" w:rsidP="00244C7B">
      <w:pPr>
        <w:pStyle w:val="Heading3"/>
      </w:pPr>
      <w:bookmarkStart w:id="6" w:name="_Toc412197782"/>
      <w:r w:rsidRPr="00244C7B">
        <w:t>The United Nations Convention on the Rights of Persons with Disabilities</w:t>
      </w:r>
      <w:bookmarkEnd w:id="6"/>
      <w:r w:rsidRPr="00244C7B">
        <w:t xml:space="preserve"> </w:t>
      </w:r>
      <w:r w:rsidR="00725879">
        <w:br/>
      </w:r>
    </w:p>
    <w:p w:rsidR="00C20223" w:rsidRPr="00266C07" w:rsidRDefault="00C108E0" w:rsidP="00266C07">
      <w:pPr>
        <w:spacing w:after="0" w:line="240" w:lineRule="auto"/>
        <w:rPr>
          <w:rFonts w:cs="Calibri"/>
          <w:sz w:val="24"/>
          <w:szCs w:val="24"/>
          <w:lang w:eastAsia="en-AU"/>
        </w:rPr>
      </w:pPr>
      <w:r w:rsidRPr="00266C07">
        <w:rPr>
          <w:rFonts w:cs="Calibri"/>
          <w:sz w:val="24"/>
          <w:szCs w:val="24"/>
          <w:lang w:eastAsia="en-AU"/>
        </w:rPr>
        <w:t>There is national recognition, through the ratification of the U</w:t>
      </w:r>
      <w:r w:rsidR="00527A14" w:rsidRPr="00266C07">
        <w:rPr>
          <w:rFonts w:cs="Calibri"/>
          <w:sz w:val="24"/>
          <w:szCs w:val="24"/>
          <w:lang w:eastAsia="en-AU"/>
        </w:rPr>
        <w:t>NCRPD</w:t>
      </w:r>
      <w:r w:rsidRPr="00266C07">
        <w:rPr>
          <w:rFonts w:cs="Calibri"/>
          <w:sz w:val="24"/>
          <w:szCs w:val="24"/>
          <w:lang w:eastAsia="en-AU"/>
        </w:rPr>
        <w:t xml:space="preserve"> by Australia in July 2008, that all people</w:t>
      </w:r>
      <w:r w:rsidR="00C20223" w:rsidRPr="00266C07">
        <w:rPr>
          <w:rFonts w:cs="Calibri"/>
          <w:sz w:val="24"/>
          <w:szCs w:val="24"/>
          <w:lang w:eastAsia="en-AU"/>
        </w:rPr>
        <w:t xml:space="preserve"> living</w:t>
      </w:r>
      <w:r w:rsidRPr="00266C07">
        <w:rPr>
          <w:rFonts w:cs="Calibri"/>
          <w:sz w:val="24"/>
          <w:szCs w:val="24"/>
          <w:lang w:eastAsia="en-AU"/>
        </w:rPr>
        <w:t xml:space="preserve"> with disability have the right to </w:t>
      </w:r>
      <w:r w:rsidRPr="00266C07">
        <w:rPr>
          <w:sz w:val="24"/>
          <w:szCs w:val="24"/>
        </w:rPr>
        <w:t>live in the community, with choices equal to others</w:t>
      </w:r>
      <w:r w:rsidRPr="00266C07">
        <w:rPr>
          <w:rFonts w:cs="Calibri"/>
          <w:sz w:val="24"/>
          <w:szCs w:val="24"/>
          <w:lang w:eastAsia="en-AU"/>
        </w:rPr>
        <w:t xml:space="preserve">. </w:t>
      </w:r>
    </w:p>
    <w:p w:rsidR="00C20223" w:rsidRDefault="00C20223" w:rsidP="00266C07">
      <w:pPr>
        <w:spacing w:after="0" w:line="240" w:lineRule="auto"/>
        <w:rPr>
          <w:rFonts w:cs="Calibri"/>
          <w:sz w:val="24"/>
          <w:szCs w:val="24"/>
          <w:lang w:eastAsia="en-AU"/>
        </w:rPr>
      </w:pPr>
    </w:p>
    <w:p w:rsidR="00C10D9F" w:rsidRPr="00266C07" w:rsidRDefault="00C10D9F" w:rsidP="00266C07">
      <w:pPr>
        <w:spacing w:after="0" w:line="240" w:lineRule="auto"/>
        <w:rPr>
          <w:rFonts w:cs="Calibri"/>
          <w:sz w:val="24"/>
          <w:szCs w:val="24"/>
          <w:lang w:eastAsia="en-AU"/>
        </w:rPr>
      </w:pPr>
    </w:p>
    <w:p w:rsidR="00C20223" w:rsidRPr="00266C07" w:rsidRDefault="00C108E0" w:rsidP="008376D9">
      <w:pPr>
        <w:spacing w:after="0" w:line="240" w:lineRule="auto"/>
        <w:rPr>
          <w:sz w:val="24"/>
          <w:szCs w:val="24"/>
        </w:rPr>
      </w:pPr>
      <w:r w:rsidRPr="00266C07">
        <w:rPr>
          <w:sz w:val="24"/>
          <w:szCs w:val="24"/>
        </w:rPr>
        <w:lastRenderedPageBreak/>
        <w:t xml:space="preserve">Article 19 </w:t>
      </w:r>
      <w:r w:rsidRPr="00266C07">
        <w:rPr>
          <w:rStyle w:val="FootnoteReference"/>
          <w:sz w:val="24"/>
          <w:szCs w:val="24"/>
        </w:rPr>
        <w:footnoteReference w:id="2"/>
      </w:r>
      <w:r w:rsidRPr="00266C07">
        <w:rPr>
          <w:sz w:val="24"/>
          <w:szCs w:val="24"/>
        </w:rPr>
        <w:t xml:space="preserve"> </w:t>
      </w:r>
      <w:r w:rsidR="00484B01" w:rsidRPr="00266C07">
        <w:rPr>
          <w:sz w:val="24"/>
          <w:szCs w:val="24"/>
        </w:rPr>
        <w:t xml:space="preserve">of the Convention </w:t>
      </w:r>
      <w:r w:rsidRPr="00266C07">
        <w:rPr>
          <w:sz w:val="24"/>
          <w:szCs w:val="24"/>
        </w:rPr>
        <w:t>sets out clear responsibilities for signatory nations t</w:t>
      </w:r>
      <w:r w:rsidR="00FA7806" w:rsidRPr="00266C07">
        <w:rPr>
          <w:sz w:val="24"/>
          <w:szCs w:val="24"/>
        </w:rPr>
        <w:t>o</w:t>
      </w:r>
      <w:r w:rsidR="00C20223" w:rsidRPr="00266C07">
        <w:rPr>
          <w:sz w:val="24"/>
          <w:szCs w:val="24"/>
        </w:rPr>
        <w:t>:</w:t>
      </w:r>
    </w:p>
    <w:p w:rsidR="00C20223" w:rsidRPr="00266C07" w:rsidRDefault="00C20223" w:rsidP="00266C07">
      <w:pPr>
        <w:spacing w:after="0" w:line="240" w:lineRule="auto"/>
        <w:ind w:left="567" w:right="567"/>
        <w:rPr>
          <w:sz w:val="24"/>
          <w:szCs w:val="24"/>
        </w:rPr>
      </w:pPr>
    </w:p>
    <w:p w:rsidR="00C108E0" w:rsidRPr="00266C07" w:rsidRDefault="0008442C" w:rsidP="00266C07">
      <w:pPr>
        <w:spacing w:after="0" w:line="360" w:lineRule="auto"/>
        <w:ind w:left="567" w:right="567"/>
        <w:rPr>
          <w:sz w:val="24"/>
          <w:szCs w:val="24"/>
        </w:rPr>
      </w:pPr>
      <w:r>
        <w:rPr>
          <w:sz w:val="24"/>
          <w:szCs w:val="24"/>
        </w:rPr>
        <w:t xml:space="preserve">… </w:t>
      </w:r>
      <w:r w:rsidR="00C108E0" w:rsidRPr="00266C07">
        <w:rPr>
          <w:sz w:val="24"/>
          <w:szCs w:val="24"/>
        </w:rPr>
        <w:t>take effective and appropriate measures to facilitate full enjoyment by persons with disabilities of this right and their full inclusion and participation in the community, including by ensuring that:</w:t>
      </w:r>
    </w:p>
    <w:p w:rsidR="00C108E0" w:rsidRPr="00244C7B" w:rsidRDefault="00C108E0" w:rsidP="00266C07">
      <w:pPr>
        <w:pStyle w:val="ListParagraph"/>
        <w:numPr>
          <w:ilvl w:val="0"/>
          <w:numId w:val="28"/>
        </w:numPr>
        <w:spacing w:after="0" w:line="360" w:lineRule="auto"/>
        <w:ind w:right="567"/>
      </w:pPr>
      <w:r w:rsidRPr="00244C7B">
        <w:t>Persons with disabilities have the opportunity to choose their place of residence and where and with whom they live on an equal basis with others and</w:t>
      </w:r>
      <w:r w:rsidR="00764ADD">
        <w:t>;</w:t>
      </w:r>
    </w:p>
    <w:p w:rsidR="00C108E0" w:rsidRPr="00244C7B" w:rsidRDefault="00C108E0" w:rsidP="00266C07">
      <w:pPr>
        <w:pStyle w:val="ListParagraph"/>
        <w:numPr>
          <w:ilvl w:val="0"/>
          <w:numId w:val="28"/>
        </w:numPr>
        <w:spacing w:after="0" w:line="360" w:lineRule="auto"/>
        <w:ind w:right="567"/>
      </w:pPr>
      <w:r w:rsidRPr="00244C7B">
        <w:t>Persons with disabilities have access to a range of in-home, residential and other community support services, including personal assistance necessary to support living and inclusion in the community, and to prevent isolation or segregation from the community</w:t>
      </w:r>
      <w:r w:rsidR="00764ADD">
        <w:t>;</w:t>
      </w:r>
    </w:p>
    <w:p w:rsidR="00C108E0" w:rsidRPr="00244C7B" w:rsidRDefault="00C108E0" w:rsidP="00266C07">
      <w:pPr>
        <w:pStyle w:val="ListParagraph"/>
        <w:numPr>
          <w:ilvl w:val="0"/>
          <w:numId w:val="28"/>
        </w:numPr>
        <w:spacing w:after="0" w:line="360" w:lineRule="auto"/>
        <w:ind w:right="567"/>
      </w:pPr>
      <w:r w:rsidRPr="00244C7B">
        <w:t>Community services and facilities for the general population are available on an equal basis to persons with disabilities and are responsive to their needs</w:t>
      </w:r>
      <w:r w:rsidR="008376D9">
        <w:t>.</w:t>
      </w:r>
      <w:r w:rsidRPr="00244C7B">
        <w:t xml:space="preserve"> </w:t>
      </w:r>
    </w:p>
    <w:p w:rsidR="00C20223" w:rsidRDefault="00C20223" w:rsidP="00266C07">
      <w:pPr>
        <w:spacing w:after="0" w:line="240" w:lineRule="auto"/>
        <w:ind w:left="720"/>
      </w:pPr>
    </w:p>
    <w:p w:rsidR="00C108E0" w:rsidRDefault="00BB4343" w:rsidP="00244C7B">
      <w:pPr>
        <w:pStyle w:val="Heading3"/>
      </w:pPr>
      <w:bookmarkStart w:id="7" w:name="_Toc412197783"/>
      <w:r>
        <w:t>T</w:t>
      </w:r>
      <w:r w:rsidR="00C108E0">
        <w:t>he National Disability Strategy</w:t>
      </w:r>
      <w:bookmarkEnd w:id="7"/>
      <w:r w:rsidR="00725879">
        <w:br/>
      </w:r>
    </w:p>
    <w:p w:rsidR="00C108E0" w:rsidRDefault="00C108E0" w:rsidP="00266C07">
      <w:pPr>
        <w:spacing w:after="0" w:line="240" w:lineRule="auto"/>
        <w:rPr>
          <w:rFonts w:cs="Calibri"/>
          <w:sz w:val="24"/>
          <w:lang w:eastAsia="en-AU"/>
        </w:rPr>
      </w:pPr>
      <w:r w:rsidRPr="00266C07">
        <w:rPr>
          <w:rFonts w:cs="Calibri"/>
          <w:sz w:val="24"/>
          <w:lang w:eastAsia="en-AU"/>
        </w:rPr>
        <w:t>The National Disability Strategy 2010-2020</w:t>
      </w:r>
      <w:r w:rsidR="00484B01" w:rsidRPr="00266C07">
        <w:rPr>
          <w:rFonts w:cs="Calibri"/>
          <w:sz w:val="24"/>
          <w:lang w:eastAsia="en-AU"/>
        </w:rPr>
        <w:t xml:space="preserve"> </w:t>
      </w:r>
      <w:r w:rsidRPr="00266C07">
        <w:rPr>
          <w:rFonts w:cs="Calibri"/>
          <w:sz w:val="24"/>
          <w:lang w:eastAsia="en-AU"/>
        </w:rPr>
        <w:t xml:space="preserve">highlights </w:t>
      </w:r>
      <w:r w:rsidR="00BB4343" w:rsidRPr="00266C07">
        <w:rPr>
          <w:rFonts w:cs="Calibri"/>
          <w:sz w:val="24"/>
          <w:lang w:eastAsia="en-AU"/>
        </w:rPr>
        <w:t>issues relat</w:t>
      </w:r>
      <w:r w:rsidR="00BA5E54">
        <w:rPr>
          <w:rFonts w:cs="Calibri"/>
          <w:sz w:val="24"/>
          <w:lang w:eastAsia="en-AU"/>
        </w:rPr>
        <w:t>ing</w:t>
      </w:r>
      <w:r w:rsidR="00BB4343" w:rsidRPr="00266C07">
        <w:rPr>
          <w:rFonts w:cs="Calibri"/>
          <w:sz w:val="24"/>
          <w:lang w:eastAsia="en-AU"/>
        </w:rPr>
        <w:t xml:space="preserve"> to housing and support in three of its six key outcomes. </w:t>
      </w:r>
      <w:r w:rsidRPr="00266C07">
        <w:rPr>
          <w:rFonts w:cs="Calibri"/>
          <w:sz w:val="24"/>
          <w:lang w:eastAsia="en-AU"/>
        </w:rPr>
        <w:t>Outcome 1</w:t>
      </w:r>
      <w:r w:rsidR="00484B01" w:rsidRPr="00266C07">
        <w:rPr>
          <w:rFonts w:cs="Calibri"/>
          <w:sz w:val="24"/>
          <w:lang w:eastAsia="en-AU"/>
        </w:rPr>
        <w:t xml:space="preserve"> (</w:t>
      </w:r>
      <w:r w:rsidRPr="00266C07">
        <w:rPr>
          <w:rFonts w:cs="Calibri"/>
          <w:sz w:val="24"/>
          <w:lang w:eastAsia="en-AU"/>
        </w:rPr>
        <w:t>Inclusiv</w:t>
      </w:r>
      <w:r w:rsidR="00BB4343" w:rsidRPr="00266C07">
        <w:rPr>
          <w:rFonts w:cs="Calibri"/>
          <w:sz w:val="24"/>
          <w:lang w:eastAsia="en-AU"/>
        </w:rPr>
        <w:t>e and Accessible Communities</w:t>
      </w:r>
      <w:r w:rsidR="00484B01" w:rsidRPr="00266C07">
        <w:rPr>
          <w:rFonts w:cs="Calibri"/>
          <w:sz w:val="24"/>
          <w:lang w:eastAsia="en-AU"/>
        </w:rPr>
        <w:t>)</w:t>
      </w:r>
      <w:r w:rsidR="00BB4343" w:rsidRPr="00266C07">
        <w:rPr>
          <w:rFonts w:cs="Calibri"/>
          <w:sz w:val="24"/>
          <w:lang w:eastAsia="en-AU"/>
        </w:rPr>
        <w:t xml:space="preserve"> promises</w:t>
      </w:r>
      <w:r w:rsidRPr="00266C07">
        <w:rPr>
          <w:rFonts w:cs="Calibri"/>
          <w:sz w:val="24"/>
          <w:lang w:eastAsia="en-AU"/>
        </w:rPr>
        <w:t xml:space="preserve"> the “improved provision of accessible and well-designed housing with</w:t>
      </w:r>
      <w:r w:rsidR="00BB4343" w:rsidRPr="00266C07">
        <w:rPr>
          <w:rFonts w:cs="Calibri"/>
          <w:sz w:val="24"/>
          <w:lang w:eastAsia="en-AU"/>
        </w:rPr>
        <w:t xml:space="preserve"> </w:t>
      </w:r>
      <w:r w:rsidRPr="00266C07">
        <w:rPr>
          <w:rFonts w:cs="Calibri"/>
          <w:sz w:val="24"/>
          <w:lang w:eastAsia="en-AU"/>
        </w:rPr>
        <w:t>choice for people with di</w:t>
      </w:r>
      <w:r w:rsidR="00BB4343" w:rsidRPr="00266C07">
        <w:rPr>
          <w:rFonts w:cs="Calibri"/>
          <w:sz w:val="24"/>
          <w:lang w:eastAsia="en-AU"/>
        </w:rPr>
        <w:t xml:space="preserve">sability about where they live”; </w:t>
      </w:r>
      <w:r w:rsidRPr="00266C07">
        <w:rPr>
          <w:rFonts w:cs="Calibri"/>
          <w:sz w:val="24"/>
          <w:lang w:eastAsia="en-AU"/>
        </w:rPr>
        <w:t xml:space="preserve"> </w:t>
      </w:r>
      <w:r w:rsidR="00484B01" w:rsidRPr="00266C07">
        <w:rPr>
          <w:rFonts w:cs="Calibri"/>
          <w:sz w:val="24"/>
          <w:lang w:eastAsia="en-AU"/>
        </w:rPr>
        <w:t>Outcome 3 (</w:t>
      </w:r>
      <w:r w:rsidR="00BB4343" w:rsidRPr="00266C07">
        <w:rPr>
          <w:rFonts w:cs="Calibri"/>
          <w:sz w:val="24"/>
          <w:lang w:eastAsia="en-AU"/>
        </w:rPr>
        <w:t>E</w:t>
      </w:r>
      <w:r w:rsidRPr="00266C07">
        <w:rPr>
          <w:rFonts w:cs="Calibri"/>
          <w:sz w:val="24"/>
          <w:lang w:eastAsia="en-AU"/>
        </w:rPr>
        <w:t xml:space="preserve">conomic </w:t>
      </w:r>
      <w:r w:rsidR="00BB4343" w:rsidRPr="00266C07">
        <w:rPr>
          <w:rFonts w:cs="Calibri"/>
          <w:sz w:val="24"/>
          <w:lang w:eastAsia="en-AU"/>
        </w:rPr>
        <w:t>S</w:t>
      </w:r>
      <w:r w:rsidRPr="00266C07">
        <w:rPr>
          <w:rFonts w:cs="Calibri"/>
          <w:sz w:val="24"/>
          <w:lang w:eastAsia="en-AU"/>
        </w:rPr>
        <w:t>e</w:t>
      </w:r>
      <w:r w:rsidR="00BB4343" w:rsidRPr="00266C07">
        <w:rPr>
          <w:rFonts w:cs="Calibri"/>
          <w:sz w:val="24"/>
          <w:lang w:eastAsia="en-AU"/>
        </w:rPr>
        <w:t>curity</w:t>
      </w:r>
      <w:r w:rsidR="00484B01" w:rsidRPr="00266C07">
        <w:rPr>
          <w:rFonts w:cs="Calibri"/>
          <w:sz w:val="24"/>
          <w:lang w:eastAsia="en-AU"/>
        </w:rPr>
        <w:t>)</w:t>
      </w:r>
      <w:r w:rsidR="00BB4343" w:rsidRPr="00266C07">
        <w:rPr>
          <w:rFonts w:cs="Calibri"/>
          <w:sz w:val="24"/>
          <w:lang w:eastAsia="en-AU"/>
        </w:rPr>
        <w:t xml:space="preserve"> undertakes to </w:t>
      </w:r>
      <w:r w:rsidR="00B57584" w:rsidRPr="00266C07">
        <w:rPr>
          <w:rFonts w:cs="Calibri"/>
          <w:sz w:val="24"/>
          <w:lang w:eastAsia="en-AU"/>
        </w:rPr>
        <w:t>“i</w:t>
      </w:r>
      <w:r w:rsidRPr="00266C07">
        <w:rPr>
          <w:rFonts w:cs="Calibri"/>
          <w:sz w:val="24"/>
          <w:lang w:eastAsia="en-AU"/>
        </w:rPr>
        <w:t xml:space="preserve">mprove access to housing options that are affordable </w:t>
      </w:r>
      <w:r w:rsidR="00BB4343" w:rsidRPr="00266C07">
        <w:rPr>
          <w:rFonts w:cs="Calibri"/>
          <w:sz w:val="24"/>
          <w:lang w:eastAsia="en-AU"/>
        </w:rPr>
        <w:t xml:space="preserve">and provide security of tenure,” and </w:t>
      </w:r>
      <w:r w:rsidR="00484B01" w:rsidRPr="00266C07">
        <w:rPr>
          <w:rFonts w:cs="Calibri"/>
          <w:sz w:val="24"/>
          <w:lang w:eastAsia="en-AU"/>
        </w:rPr>
        <w:t>Outcome 4</w:t>
      </w:r>
      <w:r w:rsidRPr="00266C07">
        <w:rPr>
          <w:rFonts w:cs="Calibri"/>
          <w:sz w:val="24"/>
          <w:lang w:eastAsia="en-AU"/>
        </w:rPr>
        <w:t xml:space="preserve"> </w:t>
      </w:r>
      <w:r w:rsidR="00484B01" w:rsidRPr="00266C07">
        <w:rPr>
          <w:rFonts w:cs="Calibri"/>
          <w:sz w:val="24"/>
          <w:lang w:eastAsia="en-AU"/>
        </w:rPr>
        <w:t>(</w:t>
      </w:r>
      <w:r w:rsidR="00BB4343" w:rsidRPr="00266C07">
        <w:rPr>
          <w:rFonts w:cs="Calibri"/>
          <w:sz w:val="24"/>
          <w:lang w:eastAsia="en-AU"/>
        </w:rPr>
        <w:t>Personal and Community S</w:t>
      </w:r>
      <w:r w:rsidRPr="00266C07">
        <w:rPr>
          <w:rFonts w:cs="Calibri"/>
          <w:sz w:val="24"/>
          <w:lang w:eastAsia="en-AU"/>
        </w:rPr>
        <w:t>upport</w:t>
      </w:r>
      <w:r w:rsidR="00484B01" w:rsidRPr="00266C07">
        <w:rPr>
          <w:rFonts w:cs="Calibri"/>
          <w:sz w:val="24"/>
          <w:lang w:eastAsia="en-AU"/>
        </w:rPr>
        <w:t>)</w:t>
      </w:r>
      <w:r w:rsidRPr="00266C07">
        <w:rPr>
          <w:rFonts w:cs="Calibri"/>
          <w:sz w:val="24"/>
          <w:lang w:eastAsia="en-AU"/>
        </w:rPr>
        <w:t xml:space="preserve"> </w:t>
      </w:r>
      <w:r w:rsidR="00BB4343" w:rsidRPr="00266C07">
        <w:rPr>
          <w:rFonts w:cs="Calibri"/>
          <w:sz w:val="24"/>
          <w:lang w:eastAsia="en-AU"/>
        </w:rPr>
        <w:t xml:space="preserve">identifies </w:t>
      </w:r>
      <w:r w:rsidRPr="00266C07">
        <w:rPr>
          <w:rFonts w:cs="Calibri"/>
          <w:sz w:val="24"/>
          <w:lang w:eastAsia="en-AU"/>
        </w:rPr>
        <w:t xml:space="preserve">the </w:t>
      </w:r>
      <w:r w:rsidR="00C50C87">
        <w:rPr>
          <w:rFonts w:cs="Calibri"/>
          <w:sz w:val="24"/>
          <w:lang w:eastAsia="en-AU"/>
        </w:rPr>
        <w:t>“</w:t>
      </w:r>
      <w:r w:rsidRPr="00266C07">
        <w:rPr>
          <w:rFonts w:cs="Calibri"/>
          <w:sz w:val="24"/>
          <w:lang w:eastAsia="en-AU"/>
        </w:rPr>
        <w:t>continued development of</w:t>
      </w:r>
      <w:r w:rsidR="00BB4343" w:rsidRPr="00266C07">
        <w:rPr>
          <w:rFonts w:cs="Calibri"/>
          <w:sz w:val="24"/>
          <w:lang w:eastAsia="en-AU"/>
        </w:rPr>
        <w:t xml:space="preserve"> </w:t>
      </w:r>
      <w:r w:rsidRPr="00266C07">
        <w:rPr>
          <w:rFonts w:cs="Calibri"/>
          <w:sz w:val="24"/>
          <w:lang w:eastAsia="en-AU"/>
        </w:rPr>
        <w:t>innovative and flexible support models for people with high</w:t>
      </w:r>
      <w:r w:rsidR="00BB4343" w:rsidRPr="00266C07">
        <w:rPr>
          <w:rFonts w:cs="Calibri"/>
          <w:sz w:val="24"/>
          <w:lang w:eastAsia="en-AU"/>
        </w:rPr>
        <w:t xml:space="preserve"> and complex needs </w:t>
      </w:r>
      <w:r w:rsidRPr="00266C07">
        <w:rPr>
          <w:rFonts w:cs="Calibri"/>
          <w:sz w:val="24"/>
          <w:lang w:eastAsia="en-AU"/>
        </w:rPr>
        <w:t>as</w:t>
      </w:r>
      <w:r w:rsidR="00BB4343" w:rsidRPr="00266C07">
        <w:rPr>
          <w:rFonts w:cs="Calibri"/>
          <w:sz w:val="24"/>
          <w:lang w:eastAsia="en-AU"/>
        </w:rPr>
        <w:t xml:space="preserve"> an area for future action</w:t>
      </w:r>
      <w:r w:rsidR="00C50C87">
        <w:rPr>
          <w:rFonts w:cs="Calibri"/>
          <w:sz w:val="24"/>
          <w:lang w:eastAsia="en-AU"/>
        </w:rPr>
        <w:t>”</w:t>
      </w:r>
      <w:r w:rsidR="00BB4343" w:rsidRPr="00266C07">
        <w:rPr>
          <w:rFonts w:cs="Calibri"/>
          <w:sz w:val="24"/>
          <w:lang w:eastAsia="en-AU"/>
        </w:rPr>
        <w:t>.</w:t>
      </w:r>
      <w:r w:rsidR="001270AE" w:rsidRPr="00266C07">
        <w:rPr>
          <w:rStyle w:val="FootnoteReference"/>
          <w:rFonts w:cs="Calibri"/>
          <w:sz w:val="24"/>
          <w:lang w:eastAsia="en-AU"/>
        </w:rPr>
        <w:t xml:space="preserve"> </w:t>
      </w:r>
      <w:r w:rsidR="001270AE" w:rsidRPr="00266C07">
        <w:rPr>
          <w:rStyle w:val="FootnoteReference"/>
          <w:rFonts w:cs="Calibri"/>
          <w:sz w:val="24"/>
          <w:lang w:eastAsia="en-AU"/>
        </w:rPr>
        <w:footnoteReference w:id="3"/>
      </w:r>
    </w:p>
    <w:p w:rsidR="00764ADD" w:rsidRPr="00266C07" w:rsidRDefault="00764ADD" w:rsidP="00266C07">
      <w:pPr>
        <w:spacing w:after="0" w:line="240" w:lineRule="auto"/>
        <w:rPr>
          <w:rFonts w:cs="Calibri"/>
          <w:sz w:val="24"/>
          <w:lang w:eastAsia="en-AU"/>
        </w:rPr>
      </w:pPr>
    </w:p>
    <w:p w:rsidR="00484B01" w:rsidRDefault="00484B01" w:rsidP="00266C07">
      <w:pPr>
        <w:spacing w:after="0" w:line="240" w:lineRule="auto"/>
        <w:rPr>
          <w:rFonts w:cs="Calibri"/>
          <w:sz w:val="24"/>
          <w:lang w:eastAsia="en-AU"/>
        </w:rPr>
      </w:pPr>
      <w:r w:rsidRPr="00266C07">
        <w:rPr>
          <w:rFonts w:cs="Calibri"/>
          <w:sz w:val="24"/>
          <w:lang w:eastAsia="en-AU"/>
        </w:rPr>
        <w:t>JFA Purple Orange’s submission to the Senate Standing Committee on Community Affairs endorses the UNCRPW and National Disability Strategy</w:t>
      </w:r>
      <w:r w:rsidR="00276509" w:rsidRPr="00266C07">
        <w:rPr>
          <w:rFonts w:cs="Calibri"/>
          <w:sz w:val="24"/>
          <w:lang w:eastAsia="en-AU"/>
        </w:rPr>
        <w:t xml:space="preserve">. We </w:t>
      </w:r>
      <w:r w:rsidRPr="00266C07">
        <w:rPr>
          <w:rFonts w:cs="Calibri"/>
          <w:sz w:val="24"/>
          <w:lang w:eastAsia="en-AU"/>
        </w:rPr>
        <w:t>provide</w:t>
      </w:r>
      <w:r w:rsidR="00276509" w:rsidRPr="00266C07">
        <w:rPr>
          <w:rFonts w:cs="Calibri"/>
          <w:sz w:val="24"/>
          <w:lang w:eastAsia="en-AU"/>
        </w:rPr>
        <w:t xml:space="preserve"> </w:t>
      </w:r>
      <w:r w:rsidRPr="00266C07">
        <w:rPr>
          <w:rFonts w:cs="Calibri"/>
          <w:sz w:val="24"/>
          <w:lang w:eastAsia="en-AU"/>
        </w:rPr>
        <w:t>evidence</w:t>
      </w:r>
      <w:r w:rsidR="00B57584" w:rsidRPr="00266C07">
        <w:rPr>
          <w:rFonts w:cs="Calibri"/>
          <w:sz w:val="24"/>
          <w:lang w:eastAsia="en-AU"/>
        </w:rPr>
        <w:t xml:space="preserve"> below</w:t>
      </w:r>
      <w:r w:rsidR="00276509" w:rsidRPr="00266C07">
        <w:rPr>
          <w:rFonts w:cs="Calibri"/>
          <w:sz w:val="24"/>
          <w:lang w:eastAsia="en-AU"/>
        </w:rPr>
        <w:t>,</w:t>
      </w:r>
      <w:r w:rsidRPr="00266C07">
        <w:rPr>
          <w:rFonts w:cs="Calibri"/>
          <w:sz w:val="24"/>
          <w:lang w:eastAsia="en-AU"/>
        </w:rPr>
        <w:t xml:space="preserve"> based on the live</w:t>
      </w:r>
      <w:r w:rsidR="00276509" w:rsidRPr="00266C07">
        <w:rPr>
          <w:rFonts w:cs="Calibri"/>
          <w:sz w:val="24"/>
          <w:lang w:eastAsia="en-AU"/>
        </w:rPr>
        <w:t>d</w:t>
      </w:r>
      <w:r w:rsidRPr="00266C07">
        <w:rPr>
          <w:rFonts w:cs="Calibri"/>
          <w:sz w:val="24"/>
          <w:lang w:eastAsia="en-AU"/>
        </w:rPr>
        <w:t xml:space="preserve"> experiences of people with disability</w:t>
      </w:r>
      <w:r w:rsidR="00276509" w:rsidRPr="00266C07">
        <w:rPr>
          <w:rFonts w:cs="Calibri"/>
          <w:sz w:val="24"/>
          <w:lang w:eastAsia="en-AU"/>
        </w:rPr>
        <w:t>,</w:t>
      </w:r>
      <w:r w:rsidRPr="00266C07">
        <w:rPr>
          <w:rFonts w:cs="Calibri"/>
          <w:sz w:val="24"/>
          <w:lang w:eastAsia="en-AU"/>
        </w:rPr>
        <w:t xml:space="preserve"> to support the life</w:t>
      </w:r>
      <w:r w:rsidR="00276509" w:rsidRPr="00266C07">
        <w:rPr>
          <w:rFonts w:cs="Calibri"/>
          <w:sz w:val="24"/>
          <w:lang w:eastAsia="en-AU"/>
        </w:rPr>
        <w:t>-</w:t>
      </w:r>
      <w:r w:rsidRPr="00266C07">
        <w:rPr>
          <w:rFonts w:cs="Calibri"/>
          <w:sz w:val="24"/>
          <w:lang w:eastAsia="en-AU"/>
        </w:rPr>
        <w:t xml:space="preserve">changing choices and chances afforded to younger people </w:t>
      </w:r>
      <w:r w:rsidR="00246953" w:rsidRPr="00266C07">
        <w:rPr>
          <w:rFonts w:cs="Calibri"/>
          <w:sz w:val="24"/>
          <w:lang w:eastAsia="en-AU"/>
        </w:rPr>
        <w:t xml:space="preserve">living </w:t>
      </w:r>
      <w:r w:rsidRPr="00266C07">
        <w:rPr>
          <w:rFonts w:cs="Calibri"/>
          <w:sz w:val="24"/>
          <w:lang w:eastAsia="en-AU"/>
        </w:rPr>
        <w:t xml:space="preserve">with disability who </w:t>
      </w:r>
      <w:r w:rsidR="00ED1B56" w:rsidRPr="00266C07">
        <w:rPr>
          <w:rFonts w:cs="Calibri"/>
          <w:sz w:val="24"/>
          <w:lang w:eastAsia="en-AU"/>
        </w:rPr>
        <w:t>move out of</w:t>
      </w:r>
      <w:r w:rsidRPr="00266C07">
        <w:rPr>
          <w:rFonts w:cs="Calibri"/>
          <w:sz w:val="24"/>
          <w:lang w:eastAsia="en-AU"/>
        </w:rPr>
        <w:t xml:space="preserve"> residential aged care.</w:t>
      </w:r>
    </w:p>
    <w:p w:rsidR="00764ADD" w:rsidRPr="00266C07" w:rsidRDefault="00764ADD" w:rsidP="00266C07">
      <w:pPr>
        <w:spacing w:after="0" w:line="240" w:lineRule="auto"/>
        <w:rPr>
          <w:rFonts w:cs="Calibri"/>
          <w:sz w:val="24"/>
          <w:lang w:eastAsia="en-AU"/>
        </w:rPr>
      </w:pPr>
    </w:p>
    <w:p w:rsidR="00670BBA" w:rsidRPr="00725879" w:rsidRDefault="00C50C87" w:rsidP="00725879">
      <w:pPr>
        <w:pStyle w:val="Heading2"/>
      </w:pPr>
      <w:r>
        <w:br w:type="page"/>
      </w:r>
      <w:bookmarkStart w:id="8" w:name="_Toc412197784"/>
      <w:r w:rsidR="00767E36">
        <w:lastRenderedPageBreak/>
        <w:t xml:space="preserve">Key </w:t>
      </w:r>
      <w:r w:rsidR="00BA5E54">
        <w:t>V</w:t>
      </w:r>
      <w:r w:rsidR="00767E36">
        <w:t>alues</w:t>
      </w:r>
      <w:bookmarkEnd w:id="8"/>
      <w:r w:rsidR="00725879">
        <w:br/>
      </w:r>
    </w:p>
    <w:p w:rsidR="00BF00B2" w:rsidRDefault="00CD5C15" w:rsidP="00266C07">
      <w:pPr>
        <w:autoSpaceDE w:val="0"/>
        <w:autoSpaceDN w:val="0"/>
        <w:adjustRightInd w:val="0"/>
        <w:spacing w:after="0" w:line="240" w:lineRule="auto"/>
        <w:rPr>
          <w:rFonts w:cs="Calibri"/>
          <w:sz w:val="24"/>
          <w:lang w:eastAsia="en-AU"/>
        </w:rPr>
      </w:pPr>
      <w:r w:rsidRPr="00266C07">
        <w:rPr>
          <w:rFonts w:cs="Calibri"/>
          <w:sz w:val="24"/>
          <w:lang w:eastAsia="en-AU"/>
        </w:rPr>
        <w:t>The work of JFA Purple Orange</w:t>
      </w:r>
      <w:r w:rsidR="009E2A6B" w:rsidRPr="00266C07">
        <w:rPr>
          <w:rFonts w:cs="Calibri"/>
          <w:sz w:val="24"/>
          <w:lang w:eastAsia="en-AU"/>
        </w:rPr>
        <w:t xml:space="preserve"> is anchored </w:t>
      </w:r>
      <w:r w:rsidR="00767E36">
        <w:rPr>
          <w:rFonts w:cs="Calibri"/>
          <w:sz w:val="24"/>
          <w:lang w:eastAsia="en-AU"/>
        </w:rPr>
        <w:t>o</w:t>
      </w:r>
      <w:r w:rsidR="009E2A6B" w:rsidRPr="00266C07">
        <w:rPr>
          <w:rFonts w:cs="Calibri"/>
          <w:sz w:val="24"/>
          <w:lang w:eastAsia="en-AU"/>
        </w:rPr>
        <w:t xml:space="preserve">n the principles of </w:t>
      </w:r>
      <w:r w:rsidR="009E2A6B" w:rsidRPr="00266C07">
        <w:rPr>
          <w:rFonts w:cs="Calibri"/>
          <w:i/>
          <w:sz w:val="24"/>
          <w:lang w:eastAsia="en-AU"/>
        </w:rPr>
        <w:t>Personhood</w:t>
      </w:r>
      <w:r w:rsidR="009E2A6B" w:rsidRPr="00266C07">
        <w:rPr>
          <w:rFonts w:cs="Calibri"/>
          <w:sz w:val="24"/>
          <w:lang w:eastAsia="en-AU"/>
        </w:rPr>
        <w:t xml:space="preserve"> and </w:t>
      </w:r>
      <w:r w:rsidR="009E2A6B" w:rsidRPr="00266C07">
        <w:rPr>
          <w:rFonts w:cs="Calibri"/>
          <w:i/>
          <w:sz w:val="24"/>
          <w:lang w:eastAsia="en-AU"/>
        </w:rPr>
        <w:t>Citizenhood</w:t>
      </w:r>
      <w:r w:rsidR="009E2A6B" w:rsidRPr="00266C07">
        <w:rPr>
          <w:rFonts w:cs="Calibri"/>
          <w:sz w:val="24"/>
          <w:lang w:eastAsia="en-AU"/>
        </w:rPr>
        <w:t xml:space="preserve"> and is guided by human rights values and social inclusion</w:t>
      </w:r>
      <w:r w:rsidR="00BF00B2" w:rsidRPr="00266C07">
        <w:rPr>
          <w:rFonts w:cs="Calibri"/>
          <w:sz w:val="24"/>
          <w:lang w:eastAsia="en-AU"/>
        </w:rPr>
        <w:t xml:space="preserve">. </w:t>
      </w:r>
      <w:r w:rsidR="007A13E7" w:rsidRPr="00266C07">
        <w:rPr>
          <w:rFonts w:cs="Calibri"/>
          <w:sz w:val="24"/>
          <w:lang w:eastAsia="en-AU"/>
        </w:rPr>
        <w:t xml:space="preserve">Each of us seeks to build a good life for ourselves. </w:t>
      </w:r>
      <w:r w:rsidR="00BF00B2" w:rsidRPr="00266C07">
        <w:rPr>
          <w:rFonts w:cs="Calibri"/>
          <w:sz w:val="24"/>
          <w:lang w:eastAsia="en-AU"/>
        </w:rPr>
        <w:t>A good life might be characterised by the presence of the following:</w:t>
      </w:r>
    </w:p>
    <w:p w:rsidR="00C50C87" w:rsidRPr="00266C07" w:rsidRDefault="00C50C87" w:rsidP="00266C07">
      <w:pPr>
        <w:autoSpaceDE w:val="0"/>
        <w:autoSpaceDN w:val="0"/>
        <w:adjustRightInd w:val="0"/>
        <w:spacing w:after="0" w:line="240" w:lineRule="auto"/>
        <w:rPr>
          <w:rFonts w:cs="Calibri"/>
          <w:sz w:val="24"/>
          <w:lang w:eastAsia="en-AU"/>
        </w:rPr>
      </w:pPr>
    </w:p>
    <w:p w:rsidR="00BF00B2" w:rsidRPr="00266C07" w:rsidRDefault="00883F79" w:rsidP="00266C07">
      <w:pPr>
        <w:pStyle w:val="ListParagraph"/>
        <w:numPr>
          <w:ilvl w:val="0"/>
          <w:numId w:val="29"/>
        </w:numPr>
        <w:spacing w:after="0" w:line="240" w:lineRule="auto"/>
        <w:rPr>
          <w:rFonts w:cs="Calibri"/>
          <w:lang w:eastAsia="en-AU"/>
        </w:rPr>
      </w:pPr>
      <w:r>
        <w:rPr>
          <w:rFonts w:cs="Calibri"/>
          <w:lang w:eastAsia="en-AU"/>
        </w:rPr>
        <w:t>A</w:t>
      </w:r>
      <w:r w:rsidR="00FA7806" w:rsidRPr="00266C07">
        <w:rPr>
          <w:rFonts w:cs="Calibri"/>
          <w:lang w:eastAsia="en-AU"/>
        </w:rPr>
        <w:t xml:space="preserve">uthorship of an individual’s </w:t>
      </w:r>
      <w:r w:rsidR="00BF00B2" w:rsidRPr="00266C07">
        <w:rPr>
          <w:rFonts w:cs="Calibri"/>
          <w:lang w:eastAsia="en-AU"/>
        </w:rPr>
        <w:t xml:space="preserve">own </w:t>
      </w:r>
      <w:r w:rsidR="001923FE" w:rsidRPr="00266C07">
        <w:rPr>
          <w:rFonts w:cs="Calibri"/>
          <w:lang w:eastAsia="en-AU"/>
        </w:rPr>
        <w:t>life</w:t>
      </w:r>
      <w:r w:rsidR="00BF00B2" w:rsidRPr="00266C07">
        <w:rPr>
          <w:rFonts w:cs="Calibri"/>
          <w:lang w:eastAsia="en-AU"/>
        </w:rPr>
        <w:t xml:space="preserve"> (often described as control and choice)</w:t>
      </w:r>
    </w:p>
    <w:p w:rsidR="00BF00B2" w:rsidRPr="00266C07" w:rsidRDefault="004D646F" w:rsidP="00266C07">
      <w:pPr>
        <w:pStyle w:val="ListParagraph"/>
        <w:numPr>
          <w:ilvl w:val="0"/>
          <w:numId w:val="29"/>
        </w:numPr>
        <w:spacing w:after="0" w:line="240" w:lineRule="auto"/>
        <w:rPr>
          <w:rFonts w:cs="Calibri"/>
          <w:lang w:eastAsia="en-AU"/>
        </w:rPr>
      </w:pPr>
      <w:r>
        <w:rPr>
          <w:rFonts w:cs="Calibri"/>
          <w:lang w:eastAsia="en-AU"/>
        </w:rPr>
        <w:t>H</w:t>
      </w:r>
      <w:r w:rsidR="00BF00B2" w:rsidRPr="00266C07">
        <w:rPr>
          <w:rFonts w:cs="Calibri"/>
          <w:lang w:eastAsia="en-AU"/>
        </w:rPr>
        <w:t xml:space="preserve">aving valued roles in community life and </w:t>
      </w:r>
      <w:r w:rsidR="00BA5E54">
        <w:rPr>
          <w:rFonts w:cs="Calibri"/>
          <w:lang w:eastAsia="en-AU"/>
        </w:rPr>
        <w:t xml:space="preserve">the </w:t>
      </w:r>
      <w:r w:rsidR="00BF00B2" w:rsidRPr="00266C07">
        <w:rPr>
          <w:rFonts w:cs="Calibri"/>
          <w:lang w:eastAsia="en-AU"/>
        </w:rPr>
        <w:t>economy (often described as inclusion).</w:t>
      </w:r>
    </w:p>
    <w:p w:rsidR="00C50C87" w:rsidRDefault="00C50C87" w:rsidP="00266C07">
      <w:pPr>
        <w:autoSpaceDE w:val="0"/>
        <w:autoSpaceDN w:val="0"/>
        <w:adjustRightInd w:val="0"/>
        <w:spacing w:after="0" w:line="240" w:lineRule="auto"/>
        <w:rPr>
          <w:rFonts w:cs="Calibri"/>
          <w:sz w:val="24"/>
          <w:lang w:eastAsia="en-AU"/>
        </w:rPr>
      </w:pPr>
    </w:p>
    <w:p w:rsidR="00BF00B2" w:rsidRDefault="00BF00B2" w:rsidP="00266C07">
      <w:pPr>
        <w:autoSpaceDE w:val="0"/>
        <w:autoSpaceDN w:val="0"/>
        <w:adjustRightInd w:val="0"/>
        <w:spacing w:after="0" w:line="240" w:lineRule="auto"/>
        <w:rPr>
          <w:rFonts w:cs="Calibri"/>
          <w:sz w:val="24"/>
          <w:lang w:eastAsia="en-AU"/>
        </w:rPr>
      </w:pPr>
      <w:r w:rsidRPr="00266C07">
        <w:rPr>
          <w:rFonts w:cs="Calibri"/>
          <w:sz w:val="24"/>
          <w:lang w:eastAsia="en-AU"/>
        </w:rPr>
        <w:t xml:space="preserve">As set out in </w:t>
      </w:r>
      <w:r w:rsidR="00BC6AA0">
        <w:rPr>
          <w:rFonts w:cs="Calibri"/>
          <w:sz w:val="24"/>
          <w:lang w:eastAsia="en-AU"/>
        </w:rPr>
        <w:t>our</w:t>
      </w:r>
      <w:r w:rsidRPr="00266C07">
        <w:rPr>
          <w:rFonts w:cs="Calibri"/>
          <w:sz w:val="24"/>
          <w:lang w:eastAsia="en-AU"/>
        </w:rPr>
        <w:t xml:space="preserve"> </w:t>
      </w:r>
      <w:r w:rsidRPr="00266C07">
        <w:rPr>
          <w:rFonts w:cs="Calibri"/>
          <w:i/>
          <w:sz w:val="24"/>
          <w:lang w:eastAsia="en-AU"/>
        </w:rPr>
        <w:t>Model of Citizenhood Support</w:t>
      </w:r>
      <w:r w:rsidRPr="00266C07">
        <w:rPr>
          <w:rStyle w:val="FootnoteReference"/>
          <w:rFonts w:cs="Calibri"/>
          <w:sz w:val="24"/>
          <w:lang w:eastAsia="en-AU"/>
        </w:rPr>
        <w:footnoteReference w:id="4"/>
      </w:r>
      <w:r w:rsidRPr="00266C07">
        <w:rPr>
          <w:rFonts w:cs="Calibri"/>
          <w:sz w:val="24"/>
          <w:lang w:eastAsia="en-AU"/>
        </w:rPr>
        <w:t>, a good life is characterised by such valued roles (termed Citizenhood) and by the decisions we make (termed Personhood).</w:t>
      </w:r>
      <w:r w:rsidR="003D52B1" w:rsidRPr="00266C07">
        <w:rPr>
          <w:rFonts w:cs="Calibri"/>
          <w:sz w:val="24"/>
          <w:lang w:eastAsia="en-AU"/>
        </w:rPr>
        <w:t xml:space="preserve"> A good life largely depends on the availability of life chances – </w:t>
      </w:r>
      <w:r w:rsidR="00976F2C" w:rsidRPr="00266C07">
        <w:rPr>
          <w:rFonts w:cs="Calibri"/>
          <w:sz w:val="24"/>
          <w:lang w:eastAsia="en-AU"/>
        </w:rPr>
        <w:t xml:space="preserve">the </w:t>
      </w:r>
      <w:r w:rsidR="003D52B1" w:rsidRPr="00266C07">
        <w:rPr>
          <w:rFonts w:cs="Calibri"/>
          <w:sz w:val="24"/>
          <w:lang w:eastAsia="en-AU"/>
        </w:rPr>
        <w:t>assets and opportunities available to a person.</w:t>
      </w:r>
    </w:p>
    <w:p w:rsidR="00C50C87" w:rsidRPr="00266C07" w:rsidRDefault="00C50C87" w:rsidP="00266C07">
      <w:pPr>
        <w:autoSpaceDE w:val="0"/>
        <w:autoSpaceDN w:val="0"/>
        <w:adjustRightInd w:val="0"/>
        <w:spacing w:after="0" w:line="240" w:lineRule="auto"/>
        <w:rPr>
          <w:rFonts w:cs="Calibri"/>
          <w:sz w:val="24"/>
          <w:lang w:eastAsia="en-AU"/>
        </w:rPr>
      </w:pPr>
    </w:p>
    <w:p w:rsidR="00FA7806" w:rsidRDefault="00BF00B2" w:rsidP="00266C07">
      <w:pPr>
        <w:autoSpaceDE w:val="0"/>
        <w:autoSpaceDN w:val="0"/>
        <w:adjustRightInd w:val="0"/>
        <w:spacing w:after="0" w:line="240" w:lineRule="auto"/>
        <w:rPr>
          <w:rFonts w:cs="Calibri"/>
          <w:sz w:val="24"/>
          <w:lang w:eastAsia="en-AU"/>
        </w:rPr>
      </w:pPr>
      <w:r w:rsidRPr="00266C07">
        <w:rPr>
          <w:rFonts w:cs="Calibri"/>
          <w:sz w:val="24"/>
          <w:lang w:eastAsia="en-AU"/>
        </w:rPr>
        <w:t xml:space="preserve">Unlike citizenship, Citizenhood is a dynamic experience: it can rise and fall depending on </w:t>
      </w:r>
      <w:r w:rsidR="00BC6AA0">
        <w:rPr>
          <w:rFonts w:cs="Calibri"/>
          <w:sz w:val="24"/>
          <w:lang w:eastAsia="en-AU"/>
        </w:rPr>
        <w:t>a</w:t>
      </w:r>
      <w:r w:rsidR="00BC6AA0" w:rsidRPr="00266C07">
        <w:rPr>
          <w:rFonts w:cs="Calibri"/>
          <w:sz w:val="24"/>
          <w:lang w:eastAsia="en-AU"/>
        </w:rPr>
        <w:t xml:space="preserve"> </w:t>
      </w:r>
      <w:r w:rsidRPr="00266C07">
        <w:rPr>
          <w:rFonts w:cs="Calibri"/>
          <w:sz w:val="24"/>
          <w:lang w:eastAsia="en-AU"/>
        </w:rPr>
        <w:t xml:space="preserve">person’s circumstances. The extent to which any person can naturally take up Personhood and Citizenhood is influenced </w:t>
      </w:r>
      <w:r w:rsidR="001923FE" w:rsidRPr="00266C07">
        <w:rPr>
          <w:rFonts w:cs="Calibri"/>
          <w:sz w:val="24"/>
          <w:lang w:eastAsia="en-AU"/>
        </w:rPr>
        <w:t>by the</w:t>
      </w:r>
      <w:r w:rsidRPr="00266C07">
        <w:rPr>
          <w:rFonts w:cs="Calibri"/>
          <w:sz w:val="24"/>
          <w:lang w:eastAsia="en-AU"/>
        </w:rPr>
        <w:t xml:space="preserve"> presence of circumstances that can adversely impact on the person's capacity to build authorship of their own lives and the person's capacity to take up valued roles in community life and the economy.</w:t>
      </w:r>
      <w:r w:rsidR="001424AD" w:rsidRPr="00266C07">
        <w:rPr>
          <w:rFonts w:cs="Calibri"/>
          <w:sz w:val="24"/>
          <w:lang w:eastAsia="en-AU"/>
        </w:rPr>
        <w:t xml:space="preserve"> </w:t>
      </w:r>
    </w:p>
    <w:p w:rsidR="00C50C87" w:rsidRPr="00266C07" w:rsidRDefault="00C50C87" w:rsidP="00266C07">
      <w:pPr>
        <w:autoSpaceDE w:val="0"/>
        <w:autoSpaceDN w:val="0"/>
        <w:adjustRightInd w:val="0"/>
        <w:spacing w:after="0" w:line="240" w:lineRule="auto"/>
        <w:rPr>
          <w:rFonts w:cs="Calibri"/>
          <w:sz w:val="24"/>
          <w:lang w:eastAsia="en-AU"/>
        </w:rPr>
      </w:pPr>
    </w:p>
    <w:p w:rsidR="00246953" w:rsidRDefault="00246953" w:rsidP="00266C07">
      <w:pPr>
        <w:autoSpaceDE w:val="0"/>
        <w:autoSpaceDN w:val="0"/>
        <w:adjustRightInd w:val="0"/>
        <w:spacing w:after="0" w:line="240" w:lineRule="auto"/>
        <w:rPr>
          <w:rFonts w:cs="Calibri"/>
          <w:sz w:val="24"/>
          <w:lang w:eastAsia="en-AU"/>
        </w:rPr>
      </w:pPr>
      <w:r w:rsidRPr="00266C07">
        <w:rPr>
          <w:rFonts w:cs="Calibri"/>
          <w:sz w:val="24"/>
          <w:lang w:eastAsia="en-AU"/>
        </w:rPr>
        <w:t>As eloquently described in the S</w:t>
      </w:r>
      <w:r w:rsidR="00BC6AA0">
        <w:rPr>
          <w:rFonts w:cs="Calibri"/>
          <w:sz w:val="24"/>
          <w:lang w:eastAsia="en-AU"/>
        </w:rPr>
        <w:t xml:space="preserve">outh </w:t>
      </w:r>
      <w:r w:rsidRPr="00266C07">
        <w:rPr>
          <w:rFonts w:cs="Calibri"/>
          <w:sz w:val="24"/>
          <w:lang w:eastAsia="en-AU"/>
        </w:rPr>
        <w:t>A</w:t>
      </w:r>
      <w:r w:rsidR="00BC6AA0">
        <w:rPr>
          <w:rFonts w:cs="Calibri"/>
          <w:sz w:val="24"/>
          <w:lang w:eastAsia="en-AU"/>
        </w:rPr>
        <w:t>ustralian</w:t>
      </w:r>
      <w:r w:rsidRPr="00266C07">
        <w:rPr>
          <w:rFonts w:cs="Calibri"/>
          <w:sz w:val="24"/>
          <w:lang w:eastAsia="en-AU"/>
        </w:rPr>
        <w:t xml:space="preserve"> Social Inclusion Board’s blueprint to enhance the life, and claim the rights of people living with disability:</w:t>
      </w:r>
    </w:p>
    <w:p w:rsidR="00C50C87" w:rsidRPr="00266C07" w:rsidRDefault="00C50C87" w:rsidP="00266C07">
      <w:pPr>
        <w:autoSpaceDE w:val="0"/>
        <w:autoSpaceDN w:val="0"/>
        <w:adjustRightInd w:val="0"/>
        <w:spacing w:after="0" w:line="240" w:lineRule="auto"/>
        <w:rPr>
          <w:rFonts w:cs="Calibri"/>
          <w:sz w:val="24"/>
          <w:lang w:eastAsia="en-AU"/>
        </w:rPr>
      </w:pPr>
    </w:p>
    <w:p w:rsidR="00246953" w:rsidRPr="00266C07" w:rsidRDefault="00246953" w:rsidP="00266C07">
      <w:pPr>
        <w:autoSpaceDE w:val="0"/>
        <w:autoSpaceDN w:val="0"/>
        <w:adjustRightInd w:val="0"/>
        <w:spacing w:after="0" w:line="360" w:lineRule="auto"/>
        <w:ind w:left="567" w:right="567"/>
        <w:rPr>
          <w:rFonts w:cs="Calibri"/>
          <w:sz w:val="24"/>
          <w:lang w:eastAsia="en-AU"/>
        </w:rPr>
      </w:pPr>
      <w:r w:rsidRPr="00266C07">
        <w:rPr>
          <w:rFonts w:cs="Calibri"/>
          <w:sz w:val="24"/>
          <w:lang w:eastAsia="en-AU"/>
        </w:rPr>
        <w:t>Home is more than shelter; it is a place of identity and expression, sanctuary and safety, a place that fosters strength, wellbeing and revival. Home is intimately and inextricably connected to the person. People with disability need to have choice in the place and with whom they live rather than simply accepting an accommodation offer or not. Current accommodation offers rarely relate to social networks, location of family, recognition of culture, personal desires or ambition.</w:t>
      </w:r>
      <w:r w:rsidRPr="00266C07">
        <w:rPr>
          <w:rStyle w:val="FootnoteReference"/>
          <w:rFonts w:cs="Calibri"/>
          <w:sz w:val="24"/>
          <w:lang w:eastAsia="en-AU"/>
        </w:rPr>
        <w:footnoteReference w:id="5"/>
      </w:r>
    </w:p>
    <w:p w:rsidR="00C50C87" w:rsidRDefault="00C50C87" w:rsidP="00266C07">
      <w:pPr>
        <w:autoSpaceDE w:val="0"/>
        <w:autoSpaceDN w:val="0"/>
        <w:adjustRightInd w:val="0"/>
        <w:spacing w:after="0" w:line="240" w:lineRule="auto"/>
        <w:rPr>
          <w:rFonts w:cs="Calibri"/>
          <w:sz w:val="24"/>
          <w:lang w:eastAsia="en-AU"/>
        </w:rPr>
      </w:pPr>
    </w:p>
    <w:p w:rsidR="00725879" w:rsidRDefault="00725879">
      <w:pPr>
        <w:rPr>
          <w:rFonts w:cs="Calibri"/>
          <w:sz w:val="24"/>
          <w:lang w:eastAsia="en-AU"/>
        </w:rPr>
      </w:pPr>
      <w:r>
        <w:rPr>
          <w:rFonts w:cs="Calibri"/>
          <w:sz w:val="24"/>
          <w:lang w:eastAsia="en-AU"/>
        </w:rPr>
        <w:br w:type="page"/>
      </w:r>
    </w:p>
    <w:p w:rsidR="00C50C87" w:rsidRDefault="00430114">
      <w:pPr>
        <w:rPr>
          <w:rFonts w:cstheme="minorHAnsi"/>
          <w:b/>
          <w:color w:val="522E91"/>
          <w:sz w:val="32"/>
          <w:szCs w:val="32"/>
        </w:rPr>
      </w:pPr>
      <w:r w:rsidRPr="00266C07">
        <w:rPr>
          <w:rFonts w:cs="Calibri"/>
          <w:sz w:val="24"/>
          <w:lang w:eastAsia="en-AU"/>
        </w:rPr>
        <w:lastRenderedPageBreak/>
        <w:t xml:space="preserve">The importance of accommodation and </w:t>
      </w:r>
      <w:r w:rsidR="00ED1B56" w:rsidRPr="00266C07">
        <w:rPr>
          <w:rFonts w:cs="Calibri"/>
          <w:sz w:val="24"/>
          <w:lang w:eastAsia="en-AU"/>
        </w:rPr>
        <w:t>appropriate individual</w:t>
      </w:r>
      <w:r w:rsidRPr="00266C07">
        <w:rPr>
          <w:rFonts w:cs="Calibri"/>
          <w:sz w:val="24"/>
          <w:lang w:eastAsia="en-AU"/>
        </w:rPr>
        <w:t xml:space="preserve"> supports </w:t>
      </w:r>
      <w:r w:rsidR="00ED1B56" w:rsidRPr="00266C07">
        <w:rPr>
          <w:rFonts w:cs="Calibri"/>
          <w:sz w:val="24"/>
          <w:lang w:eastAsia="en-AU"/>
        </w:rPr>
        <w:t>for i</w:t>
      </w:r>
      <w:r w:rsidR="00ED1B56" w:rsidRPr="00266C07">
        <w:rPr>
          <w:rFonts w:cstheme="minorHAnsi"/>
          <w:sz w:val="24"/>
          <w:lang w:eastAsia="en-AU"/>
        </w:rPr>
        <w:t xml:space="preserve">mproving the life chances of people living with disability </w:t>
      </w:r>
      <w:r w:rsidRPr="00266C07">
        <w:rPr>
          <w:rFonts w:cstheme="minorHAnsi"/>
          <w:sz w:val="24"/>
          <w:lang w:eastAsia="en-AU"/>
        </w:rPr>
        <w:t xml:space="preserve">cannot be overstated. </w:t>
      </w:r>
      <w:r w:rsidR="00C879A1">
        <w:rPr>
          <w:rFonts w:cstheme="minorHAnsi"/>
          <w:sz w:val="24"/>
          <w:lang w:eastAsia="en-AU"/>
        </w:rPr>
        <w:t xml:space="preserve">People </w:t>
      </w:r>
      <w:r w:rsidR="00BC6AA0">
        <w:rPr>
          <w:rFonts w:cstheme="minorHAnsi"/>
          <w:sz w:val="24"/>
          <w:lang w:eastAsia="en-AU"/>
        </w:rPr>
        <w:t xml:space="preserve">living </w:t>
      </w:r>
      <w:r w:rsidR="00C879A1">
        <w:rPr>
          <w:rFonts w:cstheme="minorHAnsi"/>
          <w:sz w:val="24"/>
          <w:lang w:eastAsia="en-AU"/>
        </w:rPr>
        <w:t>with significant disability can, and do, live as contributing and valued members of their local community regardless of the nature of their disability. A greater range of</w:t>
      </w:r>
      <w:r w:rsidRPr="00266C07">
        <w:rPr>
          <w:rFonts w:cstheme="minorHAnsi"/>
          <w:sz w:val="24"/>
          <w:lang w:eastAsia="en-AU"/>
        </w:rPr>
        <w:t xml:space="preserve"> </w:t>
      </w:r>
      <w:r w:rsidRPr="00266C07">
        <w:rPr>
          <w:rFonts w:cstheme="minorHAnsi"/>
          <w:sz w:val="24"/>
          <w:lang w:val="en-US"/>
        </w:rPr>
        <w:t xml:space="preserve">creative and innovative </w:t>
      </w:r>
      <w:r w:rsidR="00C879A1">
        <w:rPr>
          <w:rFonts w:cstheme="minorHAnsi"/>
          <w:sz w:val="24"/>
          <w:lang w:val="en-US"/>
        </w:rPr>
        <w:t xml:space="preserve">housing </w:t>
      </w:r>
      <w:r w:rsidRPr="00266C07">
        <w:rPr>
          <w:rFonts w:cstheme="minorHAnsi"/>
          <w:sz w:val="24"/>
          <w:lang w:val="en-US"/>
        </w:rPr>
        <w:t>solutions</w:t>
      </w:r>
      <w:r w:rsidR="002B6111">
        <w:rPr>
          <w:rFonts w:cstheme="minorHAnsi"/>
          <w:sz w:val="24"/>
          <w:lang w:val="en-US"/>
        </w:rPr>
        <w:t xml:space="preserve"> must be established </w:t>
      </w:r>
      <w:r w:rsidR="002B6111" w:rsidRPr="00266C07">
        <w:rPr>
          <w:rFonts w:cstheme="minorHAnsi"/>
          <w:sz w:val="24"/>
          <w:lang w:val="en-US"/>
        </w:rPr>
        <w:t>to facilitate choice and personal control</w:t>
      </w:r>
      <w:r w:rsidR="002B6111">
        <w:rPr>
          <w:rFonts w:cstheme="minorHAnsi"/>
          <w:sz w:val="24"/>
          <w:lang w:val="en-US"/>
        </w:rPr>
        <w:t>, and enable an individual’s move i</w:t>
      </w:r>
      <w:r w:rsidR="00C879A1" w:rsidRPr="00266C07">
        <w:rPr>
          <w:rFonts w:cs="Calibri"/>
          <w:sz w:val="24"/>
          <w:lang w:eastAsia="en-AU"/>
        </w:rPr>
        <w:t>nto roles of Personhood and Citizenhood</w:t>
      </w:r>
      <w:r w:rsidR="00C879A1">
        <w:rPr>
          <w:rFonts w:cstheme="minorHAnsi"/>
          <w:sz w:val="24"/>
          <w:lang w:val="en-US"/>
        </w:rPr>
        <w:t xml:space="preserve">. </w:t>
      </w:r>
      <w:r w:rsidR="00C50C87">
        <w:br w:type="page"/>
      </w:r>
    </w:p>
    <w:p w:rsidR="00670BBA" w:rsidRDefault="00670BBA" w:rsidP="00244C7B">
      <w:pPr>
        <w:pStyle w:val="Heading1"/>
      </w:pPr>
      <w:bookmarkStart w:id="9" w:name="_Toc412197785"/>
      <w:r>
        <w:lastRenderedPageBreak/>
        <w:t>Our Approach to this Submission</w:t>
      </w:r>
      <w:bookmarkEnd w:id="9"/>
      <w:r w:rsidR="00725879">
        <w:br/>
      </w:r>
    </w:p>
    <w:p w:rsidR="0009379F" w:rsidRPr="00DF300F" w:rsidRDefault="0009379F" w:rsidP="00266C07">
      <w:pPr>
        <w:spacing w:after="0" w:line="240" w:lineRule="auto"/>
        <w:rPr>
          <w:sz w:val="24"/>
          <w:szCs w:val="24"/>
          <w:lang w:val="en-US"/>
        </w:rPr>
      </w:pPr>
      <w:r w:rsidRPr="00DF300F">
        <w:rPr>
          <w:sz w:val="24"/>
          <w:szCs w:val="24"/>
          <w:lang w:val="en-US"/>
        </w:rPr>
        <w:t xml:space="preserve">Our submission focuses on the values, matters of concern and experiences of JFA Purple Orange drawn from </w:t>
      </w:r>
      <w:r w:rsidR="00FD058B" w:rsidRPr="00DF300F">
        <w:rPr>
          <w:sz w:val="24"/>
          <w:szCs w:val="24"/>
          <w:lang w:val="en-US"/>
        </w:rPr>
        <w:t>discussion</w:t>
      </w:r>
      <w:r w:rsidR="004E7066" w:rsidRPr="00DF300F">
        <w:rPr>
          <w:sz w:val="24"/>
          <w:szCs w:val="24"/>
          <w:lang w:val="en-US"/>
        </w:rPr>
        <w:t>s</w:t>
      </w:r>
      <w:r w:rsidRPr="00DF300F">
        <w:rPr>
          <w:sz w:val="24"/>
          <w:szCs w:val="24"/>
          <w:lang w:val="en-US"/>
        </w:rPr>
        <w:t xml:space="preserve"> with people living with disability.</w:t>
      </w:r>
    </w:p>
    <w:p w:rsidR="003A7377" w:rsidRPr="00DF300F" w:rsidRDefault="003A7377" w:rsidP="00266C07">
      <w:pPr>
        <w:spacing w:after="0" w:line="240" w:lineRule="auto"/>
        <w:rPr>
          <w:sz w:val="24"/>
          <w:szCs w:val="24"/>
          <w:lang w:val="en-US"/>
        </w:rPr>
      </w:pPr>
    </w:p>
    <w:p w:rsidR="0009379F" w:rsidRPr="008376D9" w:rsidRDefault="0009379F" w:rsidP="00266C07">
      <w:pPr>
        <w:spacing w:after="0" w:line="240" w:lineRule="auto"/>
        <w:rPr>
          <w:sz w:val="24"/>
          <w:lang w:val="en-US"/>
        </w:rPr>
      </w:pPr>
      <w:r w:rsidRPr="008376D9">
        <w:rPr>
          <w:sz w:val="24"/>
          <w:lang w:val="en-US"/>
        </w:rPr>
        <w:t>The issue</w:t>
      </w:r>
      <w:r w:rsidR="00B57584" w:rsidRPr="008376D9">
        <w:rPr>
          <w:sz w:val="24"/>
          <w:lang w:val="en-US"/>
        </w:rPr>
        <w:t>s of primary interest to</w:t>
      </w:r>
      <w:r w:rsidRPr="008376D9">
        <w:rPr>
          <w:sz w:val="24"/>
          <w:lang w:val="en-US"/>
        </w:rPr>
        <w:t xml:space="preserve"> JFA Purple Or</w:t>
      </w:r>
      <w:r w:rsidR="00D66790" w:rsidRPr="008376D9">
        <w:rPr>
          <w:sz w:val="24"/>
          <w:lang w:val="en-US"/>
        </w:rPr>
        <w:t>ange are those outlined in two of</w:t>
      </w:r>
      <w:r w:rsidRPr="008376D9">
        <w:rPr>
          <w:sz w:val="24"/>
          <w:lang w:val="en-US"/>
        </w:rPr>
        <w:t xml:space="preserve"> the Inquiry’s Terms of Reference:</w:t>
      </w:r>
    </w:p>
    <w:p w:rsidR="003A7377" w:rsidRPr="008376D9" w:rsidRDefault="003A7377" w:rsidP="00266C07">
      <w:pPr>
        <w:spacing w:after="0" w:line="240" w:lineRule="auto"/>
        <w:rPr>
          <w:sz w:val="24"/>
          <w:lang w:val="en-US"/>
        </w:rPr>
      </w:pPr>
    </w:p>
    <w:p w:rsidR="0009379F" w:rsidRPr="008376D9" w:rsidRDefault="0009379F" w:rsidP="00266C07">
      <w:pPr>
        <w:spacing w:after="0" w:line="240" w:lineRule="auto"/>
        <w:ind w:left="720"/>
        <w:rPr>
          <w:rFonts w:cstheme="minorHAnsi"/>
          <w:color w:val="000000"/>
          <w:sz w:val="24"/>
          <w:lang w:val="en"/>
        </w:rPr>
      </w:pPr>
      <w:r w:rsidRPr="008376D9">
        <w:rPr>
          <w:sz w:val="24"/>
          <w:lang w:val="en-US"/>
        </w:rPr>
        <w:t>(</w:t>
      </w:r>
      <w:r w:rsidRPr="008376D9">
        <w:rPr>
          <w:rFonts w:cstheme="minorHAnsi"/>
          <w:sz w:val="24"/>
          <w:lang w:val="en-US"/>
        </w:rPr>
        <w:t xml:space="preserve">d) </w:t>
      </w:r>
      <w:r w:rsidRPr="008376D9">
        <w:rPr>
          <w:rFonts w:cstheme="minorHAnsi"/>
          <w:color w:val="000000"/>
          <w:sz w:val="24"/>
          <w:lang w:val="en"/>
        </w:rPr>
        <w:t xml:space="preserve">the appropriateness of the aged care system for care of young people with serious and/or permanent mental or physical disabilities; and </w:t>
      </w:r>
    </w:p>
    <w:p w:rsidR="0009379F" w:rsidRPr="00DF300F" w:rsidRDefault="0009379F" w:rsidP="00266C07">
      <w:pPr>
        <w:spacing w:after="0" w:line="240" w:lineRule="auto"/>
        <w:ind w:left="720"/>
        <w:rPr>
          <w:rFonts w:cstheme="minorHAnsi"/>
          <w:color w:val="000000"/>
          <w:sz w:val="24"/>
          <w:szCs w:val="24"/>
          <w:lang w:val="en"/>
        </w:rPr>
      </w:pPr>
      <w:r w:rsidRPr="008376D9">
        <w:rPr>
          <w:rFonts w:cstheme="minorHAnsi"/>
          <w:color w:val="000000"/>
          <w:sz w:val="24"/>
          <w:lang w:val="en"/>
        </w:rPr>
        <w:t>(f) the options, consequences and considerations of the de-institutionalisation of young people with serious and/or permanent mental, physical or intellectual disabilities.</w:t>
      </w:r>
    </w:p>
    <w:p w:rsidR="003A7377" w:rsidRPr="00DF300F" w:rsidRDefault="003A7377" w:rsidP="00266C07">
      <w:pPr>
        <w:spacing w:after="0" w:line="240" w:lineRule="auto"/>
        <w:ind w:left="720"/>
        <w:rPr>
          <w:rFonts w:cstheme="minorHAnsi"/>
          <w:color w:val="000000"/>
          <w:sz w:val="24"/>
          <w:szCs w:val="24"/>
          <w:lang w:val="en"/>
        </w:rPr>
      </w:pPr>
    </w:p>
    <w:p w:rsidR="003A7377" w:rsidRPr="00DF300F" w:rsidRDefault="007A13E7" w:rsidP="00266C07">
      <w:pPr>
        <w:spacing w:after="0" w:line="240" w:lineRule="auto"/>
        <w:rPr>
          <w:rFonts w:cstheme="minorHAnsi"/>
          <w:color w:val="000000"/>
          <w:sz w:val="24"/>
          <w:szCs w:val="24"/>
          <w:lang w:val="en"/>
        </w:rPr>
      </w:pPr>
      <w:r w:rsidRPr="00DF300F">
        <w:rPr>
          <w:rFonts w:cstheme="minorHAnsi"/>
          <w:color w:val="000000"/>
          <w:sz w:val="24"/>
          <w:szCs w:val="24"/>
          <w:lang w:val="en"/>
        </w:rPr>
        <w:t>We interviewed a number of people with lived experience of disability who moved from</w:t>
      </w:r>
      <w:r w:rsidR="003A7377" w:rsidRPr="00DF300F">
        <w:rPr>
          <w:rFonts w:cstheme="minorHAnsi"/>
          <w:color w:val="000000"/>
          <w:sz w:val="24"/>
          <w:szCs w:val="24"/>
          <w:lang w:val="en"/>
        </w:rPr>
        <w:t>,</w:t>
      </w:r>
      <w:r w:rsidRPr="00DF300F">
        <w:rPr>
          <w:rFonts w:cstheme="minorHAnsi"/>
          <w:color w:val="000000"/>
          <w:sz w:val="24"/>
          <w:szCs w:val="24"/>
          <w:lang w:val="en"/>
        </w:rPr>
        <w:t xml:space="preserve"> or were at risk of</w:t>
      </w:r>
      <w:r w:rsidR="003A7377" w:rsidRPr="00DF300F">
        <w:rPr>
          <w:rFonts w:cstheme="minorHAnsi"/>
          <w:color w:val="000000"/>
          <w:sz w:val="24"/>
          <w:szCs w:val="24"/>
          <w:lang w:val="en"/>
        </w:rPr>
        <w:t>,</w:t>
      </w:r>
      <w:r w:rsidRPr="00DF300F">
        <w:rPr>
          <w:rFonts w:cstheme="minorHAnsi"/>
          <w:color w:val="000000"/>
          <w:sz w:val="24"/>
          <w:szCs w:val="24"/>
          <w:lang w:val="en"/>
        </w:rPr>
        <w:t xml:space="preserve"> placement in a residential aged care facility. </w:t>
      </w:r>
      <w:r w:rsidR="00B57584" w:rsidRPr="00DF300F">
        <w:rPr>
          <w:rFonts w:cstheme="minorHAnsi"/>
          <w:color w:val="000000"/>
          <w:sz w:val="24"/>
          <w:szCs w:val="24"/>
          <w:lang w:val="en"/>
        </w:rPr>
        <w:t>We have</w:t>
      </w:r>
      <w:r w:rsidR="0009379F" w:rsidRPr="00DF300F">
        <w:rPr>
          <w:rFonts w:cstheme="minorHAnsi"/>
          <w:color w:val="000000"/>
          <w:sz w:val="24"/>
          <w:szCs w:val="24"/>
          <w:lang w:val="en"/>
        </w:rPr>
        <w:t xml:space="preserve"> </w:t>
      </w:r>
      <w:r w:rsidR="002B6111" w:rsidRPr="00DF300F">
        <w:rPr>
          <w:rFonts w:cstheme="minorHAnsi"/>
          <w:color w:val="000000"/>
          <w:sz w:val="24"/>
          <w:szCs w:val="24"/>
          <w:lang w:val="en"/>
        </w:rPr>
        <w:t>included their reflections in our submission</w:t>
      </w:r>
      <w:r w:rsidR="005144C3" w:rsidRPr="00DF300F">
        <w:rPr>
          <w:rFonts w:cstheme="minorHAnsi"/>
          <w:color w:val="000000"/>
          <w:sz w:val="24"/>
          <w:szCs w:val="24"/>
          <w:lang w:val="en"/>
        </w:rPr>
        <w:t>,</w:t>
      </w:r>
      <w:r w:rsidR="00767E36" w:rsidRPr="00DF300F">
        <w:rPr>
          <w:rFonts w:cstheme="minorHAnsi"/>
          <w:color w:val="000000"/>
          <w:sz w:val="24"/>
          <w:szCs w:val="24"/>
          <w:lang w:val="en"/>
        </w:rPr>
        <w:t xml:space="preserve"> along with suggested </w:t>
      </w:r>
      <w:r w:rsidR="002C7B01" w:rsidRPr="00DF300F">
        <w:rPr>
          <w:rFonts w:cstheme="minorHAnsi"/>
          <w:color w:val="000000"/>
          <w:sz w:val="24"/>
          <w:szCs w:val="24"/>
          <w:lang w:val="en"/>
        </w:rPr>
        <w:t>frameworks</w:t>
      </w:r>
      <w:r w:rsidR="00767E36" w:rsidRPr="00DF300F">
        <w:rPr>
          <w:rFonts w:cstheme="minorHAnsi"/>
          <w:color w:val="000000"/>
          <w:sz w:val="24"/>
          <w:szCs w:val="24"/>
          <w:lang w:val="en"/>
        </w:rPr>
        <w:t xml:space="preserve"> and recommendations for the Senate Community Affairs Committee to consider.</w:t>
      </w:r>
    </w:p>
    <w:p w:rsidR="00794EA7" w:rsidRPr="00266C07" w:rsidRDefault="00794EA7" w:rsidP="00266C07">
      <w:pPr>
        <w:spacing w:after="0" w:line="240" w:lineRule="auto"/>
        <w:rPr>
          <w:rFonts w:cstheme="minorHAnsi"/>
          <w:color w:val="000000"/>
          <w:sz w:val="24"/>
          <w:lang w:val="en"/>
        </w:rPr>
      </w:pPr>
    </w:p>
    <w:p w:rsidR="008B50E9" w:rsidRPr="008B50E9" w:rsidRDefault="008B50E9" w:rsidP="00244C7B">
      <w:pPr>
        <w:pStyle w:val="Heading2"/>
      </w:pPr>
      <w:bookmarkStart w:id="10" w:name="_Toc412197786"/>
      <w:r>
        <w:t>Definitions</w:t>
      </w:r>
      <w:bookmarkEnd w:id="10"/>
      <w:r w:rsidR="00725879">
        <w:br/>
      </w:r>
    </w:p>
    <w:p w:rsidR="0009379F" w:rsidRDefault="0009379F" w:rsidP="00266C07">
      <w:pPr>
        <w:spacing w:after="0" w:line="240" w:lineRule="auto"/>
        <w:rPr>
          <w:sz w:val="24"/>
        </w:rPr>
      </w:pPr>
      <w:r w:rsidRPr="00266C07">
        <w:rPr>
          <w:sz w:val="24"/>
        </w:rPr>
        <w:t>For the purpose of our submission, w</w:t>
      </w:r>
      <w:r w:rsidR="002B3D28" w:rsidRPr="00266C07">
        <w:rPr>
          <w:sz w:val="24"/>
        </w:rPr>
        <w:t>e have defined two of the I</w:t>
      </w:r>
      <w:r w:rsidR="00AC1E36" w:rsidRPr="00266C07">
        <w:rPr>
          <w:sz w:val="24"/>
        </w:rPr>
        <w:t>nquiry’s</w:t>
      </w:r>
      <w:r w:rsidRPr="00266C07">
        <w:rPr>
          <w:sz w:val="24"/>
        </w:rPr>
        <w:t xml:space="preserve"> key phrases as follows:</w:t>
      </w:r>
    </w:p>
    <w:p w:rsidR="003A7377" w:rsidRPr="00266C07" w:rsidRDefault="003A7377" w:rsidP="00266C07">
      <w:pPr>
        <w:spacing w:after="0" w:line="240" w:lineRule="auto"/>
        <w:rPr>
          <w:sz w:val="24"/>
        </w:rPr>
      </w:pPr>
    </w:p>
    <w:p w:rsidR="0009379F" w:rsidRPr="00266C07" w:rsidRDefault="0009379F" w:rsidP="00266C07">
      <w:pPr>
        <w:pStyle w:val="ListParagraph"/>
        <w:numPr>
          <w:ilvl w:val="0"/>
          <w:numId w:val="10"/>
        </w:numPr>
        <w:spacing w:after="0" w:line="240" w:lineRule="auto"/>
        <w:rPr>
          <w:szCs w:val="22"/>
        </w:rPr>
      </w:pPr>
      <w:r w:rsidRPr="00266C07">
        <w:rPr>
          <w:i/>
          <w:szCs w:val="22"/>
        </w:rPr>
        <w:t>Severe</w:t>
      </w:r>
      <w:r w:rsidR="00D66790" w:rsidRPr="00266C07">
        <w:rPr>
          <w:szCs w:val="22"/>
        </w:rPr>
        <w:t xml:space="preserve"> – rather than severe </w:t>
      </w:r>
      <w:r w:rsidR="00135885" w:rsidRPr="00266C07">
        <w:rPr>
          <w:szCs w:val="22"/>
        </w:rPr>
        <w:t xml:space="preserve">we prefer the term </w:t>
      </w:r>
      <w:r w:rsidR="00135885" w:rsidRPr="00266C07">
        <w:rPr>
          <w:i/>
          <w:szCs w:val="22"/>
        </w:rPr>
        <w:t>significant support needs</w:t>
      </w:r>
      <w:r w:rsidR="00135885" w:rsidRPr="00266C07">
        <w:rPr>
          <w:szCs w:val="22"/>
        </w:rPr>
        <w:t xml:space="preserve"> which includes “support in multiple areas of activities and participation, typically involving multiple service sectors.”</w:t>
      </w:r>
      <w:r w:rsidR="00135885" w:rsidRPr="00266C07">
        <w:rPr>
          <w:rStyle w:val="FootnoteReference"/>
          <w:szCs w:val="22"/>
        </w:rPr>
        <w:footnoteReference w:id="6"/>
      </w:r>
    </w:p>
    <w:p w:rsidR="003F4AB3" w:rsidRDefault="0009379F" w:rsidP="00266C07">
      <w:pPr>
        <w:pStyle w:val="ListParagraph"/>
        <w:numPr>
          <w:ilvl w:val="0"/>
          <w:numId w:val="10"/>
        </w:numPr>
        <w:spacing w:after="0" w:line="240" w:lineRule="auto"/>
        <w:rPr>
          <w:szCs w:val="22"/>
        </w:rPr>
      </w:pPr>
      <w:r w:rsidRPr="00266C07">
        <w:rPr>
          <w:i/>
          <w:szCs w:val="22"/>
        </w:rPr>
        <w:t>Young People</w:t>
      </w:r>
      <w:r w:rsidR="00135885" w:rsidRPr="00266C07">
        <w:rPr>
          <w:szCs w:val="22"/>
        </w:rPr>
        <w:t xml:space="preserve"> – </w:t>
      </w:r>
      <w:r w:rsidR="006A3B5A" w:rsidRPr="00244C7B">
        <w:rPr>
          <w:szCs w:val="22"/>
        </w:rPr>
        <w:t>less than</w:t>
      </w:r>
      <w:r w:rsidR="00135885" w:rsidRPr="00266C07">
        <w:rPr>
          <w:szCs w:val="22"/>
        </w:rPr>
        <w:t xml:space="preserve"> 65 years old</w:t>
      </w:r>
      <w:r w:rsidR="00AC1E36" w:rsidRPr="00266C07">
        <w:rPr>
          <w:szCs w:val="22"/>
        </w:rPr>
        <w:t>.</w:t>
      </w:r>
    </w:p>
    <w:p w:rsidR="003A7377" w:rsidRPr="00266C07" w:rsidRDefault="003A7377" w:rsidP="00266C07">
      <w:pPr>
        <w:pStyle w:val="ListParagraph"/>
        <w:spacing w:after="0" w:line="240" w:lineRule="auto"/>
        <w:rPr>
          <w:szCs w:val="22"/>
        </w:rPr>
      </w:pPr>
    </w:p>
    <w:p w:rsidR="008B50E9" w:rsidRDefault="001270AE" w:rsidP="00244C7B">
      <w:pPr>
        <w:pStyle w:val="Heading2"/>
      </w:pPr>
      <w:bookmarkStart w:id="11" w:name="_Toc412197787"/>
      <w:r>
        <w:rPr>
          <w:lang w:val="en"/>
        </w:rPr>
        <w:t xml:space="preserve">TOR (d) </w:t>
      </w:r>
      <w:r w:rsidR="00AC1E36">
        <w:rPr>
          <w:lang w:val="en"/>
        </w:rPr>
        <w:t>The A</w:t>
      </w:r>
      <w:r w:rsidR="00AC1E36" w:rsidRPr="0009379F">
        <w:rPr>
          <w:lang w:val="en"/>
        </w:rPr>
        <w:t xml:space="preserve">ppropriateness of the </w:t>
      </w:r>
      <w:r w:rsidR="00AC1E36">
        <w:rPr>
          <w:lang w:val="en"/>
        </w:rPr>
        <w:t>A</w:t>
      </w:r>
      <w:r w:rsidR="00AC1E36" w:rsidRPr="0009379F">
        <w:rPr>
          <w:lang w:val="en"/>
        </w:rPr>
        <w:t xml:space="preserve">ged </w:t>
      </w:r>
      <w:r w:rsidR="00AC1E36">
        <w:rPr>
          <w:lang w:val="en"/>
        </w:rPr>
        <w:t>C</w:t>
      </w:r>
      <w:r w:rsidR="00AC1E36" w:rsidRPr="0009379F">
        <w:rPr>
          <w:lang w:val="en"/>
        </w:rPr>
        <w:t xml:space="preserve">are </w:t>
      </w:r>
      <w:r w:rsidR="00AC1E36">
        <w:rPr>
          <w:lang w:val="en"/>
        </w:rPr>
        <w:t>S</w:t>
      </w:r>
      <w:r w:rsidR="00AC1E36" w:rsidRPr="0009379F">
        <w:rPr>
          <w:lang w:val="en"/>
        </w:rPr>
        <w:t>ystem</w:t>
      </w:r>
      <w:r w:rsidR="00AC1E36">
        <w:rPr>
          <w:lang w:val="en"/>
        </w:rPr>
        <w:t xml:space="preserve"> </w:t>
      </w:r>
      <w:r w:rsidR="00AC1E36" w:rsidRPr="00AC1E36">
        <w:t xml:space="preserve">for </w:t>
      </w:r>
      <w:r w:rsidR="00AC1E36">
        <w:t>C</w:t>
      </w:r>
      <w:r w:rsidR="00AC1E36" w:rsidRPr="00AC1E36">
        <w:t xml:space="preserve">are of </w:t>
      </w:r>
      <w:r w:rsidR="00AC1E36">
        <w:t>Young P</w:t>
      </w:r>
      <w:r w:rsidR="00AC1E36" w:rsidRPr="00AC1E36">
        <w:t>eople with </w:t>
      </w:r>
      <w:r w:rsidR="00AC1E36">
        <w:t>Disabilit</w:t>
      </w:r>
      <w:r>
        <w:t>y</w:t>
      </w:r>
      <w:bookmarkEnd w:id="11"/>
      <w:r w:rsidR="00725879">
        <w:br/>
      </w:r>
    </w:p>
    <w:p w:rsidR="00143086" w:rsidRPr="008376D9" w:rsidRDefault="00143086" w:rsidP="008376D9">
      <w:pPr>
        <w:rPr>
          <w:sz w:val="24"/>
        </w:rPr>
      </w:pPr>
      <w:r w:rsidRPr="008376D9">
        <w:rPr>
          <w:sz w:val="24"/>
        </w:rPr>
        <w:t>Placing young people</w:t>
      </w:r>
      <w:r w:rsidR="00227B6D">
        <w:rPr>
          <w:sz w:val="24"/>
        </w:rPr>
        <w:t xml:space="preserve"> living</w:t>
      </w:r>
      <w:r w:rsidRPr="008376D9">
        <w:rPr>
          <w:sz w:val="24"/>
        </w:rPr>
        <w:t xml:space="preserve"> with disability in a residential aged care facility is </w:t>
      </w:r>
      <w:r w:rsidRPr="008376D9">
        <w:rPr>
          <w:b/>
          <w:sz w:val="24"/>
        </w:rPr>
        <w:t>never</w:t>
      </w:r>
      <w:r w:rsidRPr="008376D9">
        <w:rPr>
          <w:sz w:val="24"/>
        </w:rPr>
        <w:t xml:space="preserve"> an acceptable option.</w:t>
      </w:r>
      <w:r w:rsidR="002B6111" w:rsidRPr="008376D9">
        <w:rPr>
          <w:sz w:val="24"/>
        </w:rPr>
        <w:t xml:space="preserve"> </w:t>
      </w:r>
      <w:r w:rsidR="00AA7F91" w:rsidRPr="008376D9">
        <w:rPr>
          <w:sz w:val="24"/>
        </w:rPr>
        <w:t>The work of JFA Purple Orange highlights that individuals</w:t>
      </w:r>
      <w:r w:rsidR="0073329C" w:rsidRPr="008376D9">
        <w:rPr>
          <w:sz w:val="24"/>
        </w:rPr>
        <w:t xml:space="preserve"> do not aspire to live in a residential aged care </w:t>
      </w:r>
      <w:r w:rsidR="00B02F23" w:rsidRPr="008376D9">
        <w:rPr>
          <w:sz w:val="24"/>
        </w:rPr>
        <w:t>facility</w:t>
      </w:r>
      <w:r w:rsidR="002B6111" w:rsidRPr="008376D9">
        <w:rPr>
          <w:sz w:val="24"/>
        </w:rPr>
        <w:t>; regardless of age</w:t>
      </w:r>
      <w:r w:rsidR="002C7B01" w:rsidRPr="008376D9">
        <w:rPr>
          <w:sz w:val="24"/>
        </w:rPr>
        <w:t>,</w:t>
      </w:r>
      <w:r w:rsidR="002B6111" w:rsidRPr="008376D9">
        <w:rPr>
          <w:sz w:val="24"/>
        </w:rPr>
        <w:t xml:space="preserve"> </w:t>
      </w:r>
      <w:r w:rsidR="0073329C" w:rsidRPr="008376D9">
        <w:rPr>
          <w:sz w:val="24"/>
        </w:rPr>
        <w:t xml:space="preserve">people want to live in their own community </w:t>
      </w:r>
      <w:r w:rsidR="002B6111" w:rsidRPr="008376D9">
        <w:rPr>
          <w:sz w:val="24"/>
        </w:rPr>
        <w:t>where they have family, friends and connections</w:t>
      </w:r>
      <w:r w:rsidR="0073329C" w:rsidRPr="008376D9">
        <w:rPr>
          <w:sz w:val="24"/>
        </w:rPr>
        <w:t>.</w:t>
      </w:r>
    </w:p>
    <w:p w:rsidR="009C1EA3" w:rsidRDefault="002B6111" w:rsidP="00143086">
      <w:pPr>
        <w:spacing w:after="0" w:line="360" w:lineRule="auto"/>
        <w:ind w:left="360" w:right="567"/>
        <w:rPr>
          <w:rFonts w:cstheme="minorHAnsi"/>
          <w:sz w:val="24"/>
        </w:rPr>
      </w:pPr>
      <w:r>
        <w:rPr>
          <w:rFonts w:cstheme="minorHAnsi"/>
          <w:sz w:val="24"/>
        </w:rPr>
        <w:lastRenderedPageBreak/>
        <w:t>One interviewee stated:</w:t>
      </w:r>
    </w:p>
    <w:p w:rsidR="009C1EA3" w:rsidRDefault="008376D9" w:rsidP="00DF300F">
      <w:pPr>
        <w:spacing w:after="0" w:line="360" w:lineRule="auto"/>
        <w:ind w:left="567" w:right="567"/>
        <w:rPr>
          <w:rFonts w:cstheme="minorHAnsi"/>
          <w:sz w:val="24"/>
        </w:rPr>
      </w:pPr>
      <w:r>
        <w:rPr>
          <w:rFonts w:cstheme="minorHAnsi"/>
          <w:sz w:val="24"/>
        </w:rPr>
        <w:t>“</w:t>
      </w:r>
      <w:r w:rsidR="00143086" w:rsidRPr="00266C07">
        <w:rPr>
          <w:rFonts w:cstheme="minorHAnsi"/>
          <w:sz w:val="24"/>
        </w:rPr>
        <w:t>Nursing homes do not provide adequate care or stimulation for a person with a young, agile mind. They don't provide any opportunity or encouragement to expand beyond the institutions walls to be a part of the greater community. It's inappropriate for a 20 year old to be housed solely with 80 and 90 year old people. Young people need to be involved with families and friends which provide warmth and love and life. All these things are essential for emotional stability.</w:t>
      </w:r>
      <w:r>
        <w:rPr>
          <w:rFonts w:cstheme="minorHAnsi"/>
          <w:sz w:val="24"/>
        </w:rPr>
        <w:t>”</w:t>
      </w:r>
      <w:r w:rsidR="00143086" w:rsidRPr="00266C07">
        <w:rPr>
          <w:rStyle w:val="FootnoteReference"/>
          <w:rFonts w:cstheme="minorHAnsi"/>
          <w:sz w:val="24"/>
        </w:rPr>
        <w:footnoteReference w:id="7"/>
      </w:r>
    </w:p>
    <w:p w:rsidR="00C879A1" w:rsidRPr="002A6D28" w:rsidRDefault="009C1EA3" w:rsidP="00266C07">
      <w:pPr>
        <w:spacing w:after="0" w:line="240" w:lineRule="auto"/>
        <w:rPr>
          <w:rFonts w:cstheme="minorHAnsi"/>
          <w:sz w:val="24"/>
          <w:szCs w:val="24"/>
          <w:lang w:val="en-US"/>
        </w:rPr>
      </w:pPr>
      <w:r>
        <w:rPr>
          <w:rFonts w:cstheme="minorHAnsi"/>
          <w:sz w:val="24"/>
          <w:szCs w:val="24"/>
          <w:lang w:val="en-US"/>
        </w:rPr>
        <w:t>T</w:t>
      </w:r>
      <w:r w:rsidR="00EF782F" w:rsidRPr="009C1EA3">
        <w:rPr>
          <w:rFonts w:cstheme="minorHAnsi"/>
          <w:sz w:val="24"/>
          <w:szCs w:val="24"/>
          <w:lang w:val="en-US"/>
        </w:rPr>
        <w:t xml:space="preserve">here are a number of </w:t>
      </w:r>
      <w:r w:rsidR="00C879A1" w:rsidRPr="009C1EA3">
        <w:rPr>
          <w:rFonts w:cstheme="minorHAnsi"/>
          <w:sz w:val="24"/>
          <w:szCs w:val="24"/>
          <w:lang w:val="en-US"/>
        </w:rPr>
        <w:t>core issues which highlight the inappropriateness of residential aged care for younger people with significant disabilit</w:t>
      </w:r>
      <w:r w:rsidR="00DC2169">
        <w:rPr>
          <w:rFonts w:cstheme="minorHAnsi"/>
          <w:sz w:val="24"/>
          <w:szCs w:val="24"/>
          <w:lang w:val="en-US"/>
        </w:rPr>
        <w:t>y</w:t>
      </w:r>
      <w:r w:rsidR="00C879A1" w:rsidRPr="009C1EA3">
        <w:rPr>
          <w:rFonts w:cstheme="minorHAnsi"/>
          <w:sz w:val="24"/>
          <w:szCs w:val="24"/>
          <w:lang w:val="en-US"/>
        </w:rPr>
        <w:t>:</w:t>
      </w:r>
    </w:p>
    <w:p w:rsidR="009C1EA3" w:rsidRDefault="009C1EA3" w:rsidP="00266C07">
      <w:pPr>
        <w:spacing w:after="0" w:line="240" w:lineRule="auto"/>
        <w:rPr>
          <w:rFonts w:cstheme="minorHAnsi"/>
          <w:sz w:val="24"/>
          <w:lang w:val="en-US"/>
        </w:rPr>
      </w:pPr>
    </w:p>
    <w:p w:rsidR="00C879A1" w:rsidRDefault="00AA7F91" w:rsidP="00C879A1">
      <w:pPr>
        <w:pStyle w:val="ListParagraph"/>
        <w:numPr>
          <w:ilvl w:val="0"/>
          <w:numId w:val="36"/>
        </w:numPr>
        <w:spacing w:after="0" w:line="240" w:lineRule="auto"/>
      </w:pPr>
      <w:r w:rsidRPr="002C7B01">
        <w:rPr>
          <w:b/>
          <w:lang w:val="en-US"/>
        </w:rPr>
        <w:t>Institutional settings:</w:t>
      </w:r>
      <w:r>
        <w:rPr>
          <w:lang w:val="en-US"/>
        </w:rPr>
        <w:t xml:space="preserve"> </w:t>
      </w:r>
      <w:r w:rsidR="002B6111">
        <w:rPr>
          <w:lang w:val="en-US"/>
        </w:rPr>
        <w:t>I</w:t>
      </w:r>
      <w:r w:rsidR="00C879A1" w:rsidRPr="00C879A1">
        <w:rPr>
          <w:lang w:val="en-US"/>
        </w:rPr>
        <w:t xml:space="preserve">nstitutions </w:t>
      </w:r>
      <w:r w:rsidR="002B6111">
        <w:rPr>
          <w:lang w:val="en-US"/>
        </w:rPr>
        <w:t xml:space="preserve">such as residential aged care facilities </w:t>
      </w:r>
      <w:r w:rsidR="00C879A1" w:rsidRPr="00C879A1">
        <w:t xml:space="preserve">fundamentally </w:t>
      </w:r>
      <w:r w:rsidR="009C1EA3">
        <w:t xml:space="preserve">segregate </w:t>
      </w:r>
      <w:r w:rsidR="002B6111">
        <w:t>young people</w:t>
      </w:r>
      <w:r w:rsidR="009C1EA3">
        <w:t xml:space="preserve"> from the community. They </w:t>
      </w:r>
      <w:r w:rsidR="00C879A1">
        <w:t>provide</w:t>
      </w:r>
      <w:r w:rsidR="00C879A1" w:rsidRPr="00C879A1">
        <w:t xml:space="preserve"> an impoverished life for a young person, compared to the life of someone of a similar age without disability. </w:t>
      </w:r>
      <w:r w:rsidR="00C879A1">
        <w:t xml:space="preserve">An institutionalised lifestyle has </w:t>
      </w:r>
      <w:r w:rsidR="00C879A1" w:rsidRPr="00C879A1">
        <w:t xml:space="preserve">an artificial structure and routine to the day; </w:t>
      </w:r>
      <w:r w:rsidR="00C879A1">
        <w:t xml:space="preserve">people generally </w:t>
      </w:r>
      <w:r w:rsidR="00C879A1" w:rsidRPr="00C879A1">
        <w:t xml:space="preserve">experience a reduction in social contacts, particularly in interactions with people their own age; and have limited choice and </w:t>
      </w:r>
      <w:r w:rsidR="00C879A1" w:rsidRPr="00EF782F">
        <w:t>control in their lives.</w:t>
      </w:r>
    </w:p>
    <w:p w:rsidR="006F3B39" w:rsidRPr="00EF782F" w:rsidRDefault="006F3B39" w:rsidP="008376D9">
      <w:pPr>
        <w:pStyle w:val="ListParagraph"/>
        <w:spacing w:after="0" w:line="240" w:lineRule="auto"/>
        <w:ind w:left="360"/>
      </w:pPr>
    </w:p>
    <w:p w:rsidR="00EF782F" w:rsidRDefault="00AA7F91" w:rsidP="00EF782F">
      <w:pPr>
        <w:pStyle w:val="ListParagraph"/>
        <w:numPr>
          <w:ilvl w:val="0"/>
          <w:numId w:val="36"/>
        </w:numPr>
        <w:spacing w:after="0" w:line="240" w:lineRule="auto"/>
      </w:pPr>
      <w:r w:rsidRPr="002C7B01">
        <w:rPr>
          <w:b/>
          <w:lang w:val="en-US"/>
        </w:rPr>
        <w:t>Age incongruence:</w:t>
      </w:r>
      <w:r>
        <w:rPr>
          <w:lang w:val="en-US"/>
        </w:rPr>
        <w:t xml:space="preserve"> </w:t>
      </w:r>
      <w:r w:rsidR="00EF782F" w:rsidRPr="00EF782F">
        <w:rPr>
          <w:lang w:val="en-US"/>
        </w:rPr>
        <w:t>Young people are livin</w:t>
      </w:r>
      <w:r w:rsidR="00263F95">
        <w:rPr>
          <w:lang w:val="en-US"/>
        </w:rPr>
        <w:t>g</w:t>
      </w:r>
      <w:r w:rsidR="002B6111">
        <w:rPr>
          <w:lang w:val="en-US"/>
        </w:rPr>
        <w:t xml:space="preserve"> in congregate care</w:t>
      </w:r>
      <w:r w:rsidR="00263F95">
        <w:rPr>
          <w:lang w:val="en-US"/>
        </w:rPr>
        <w:t xml:space="preserve"> with people many years older. </w:t>
      </w:r>
      <w:r w:rsidR="00EF782F" w:rsidRPr="00143086">
        <w:t>The number of permanent residents in Government-funded aged care facilities has increased by nearly one-quarter in ten years (23 per cent, or 31,028 residents between 2001 and 2011). Growth in the number of permanent residents aged 85 and over has been particularly significant, increasing by 39 per cent over this period, and residents aged 85 and over account for the largest proportion of all residents (57 per cent at 30 June 2011 compar</w:t>
      </w:r>
      <w:r w:rsidR="00EF782F" w:rsidRPr="00A00040">
        <w:t xml:space="preserve">ed with 50 per cent at 30 June 2001). </w:t>
      </w:r>
      <w:r w:rsidR="00EF782F" w:rsidRPr="00EF782F">
        <w:rPr>
          <w:rStyle w:val="FootnoteReference"/>
        </w:rPr>
        <w:footnoteReference w:id="8"/>
      </w:r>
      <w:r w:rsidR="00EF782F" w:rsidRPr="00EF782F">
        <w:t xml:space="preserve"> </w:t>
      </w:r>
      <w:r w:rsidR="009C1EA3" w:rsidRPr="00EF782F">
        <w:t xml:space="preserve">The increasing age and frailty of aged care facility residents serves to amplify the inappropriateness of younger people living with disability in residential </w:t>
      </w:r>
      <w:r w:rsidR="009C1EA3" w:rsidRPr="00143086">
        <w:t>aged care facilities.</w:t>
      </w:r>
    </w:p>
    <w:p w:rsidR="006F3B39" w:rsidRDefault="006F3B39" w:rsidP="008376D9">
      <w:pPr>
        <w:pStyle w:val="ListParagraph"/>
        <w:spacing w:after="0" w:line="240" w:lineRule="auto"/>
        <w:ind w:left="360"/>
      </w:pPr>
    </w:p>
    <w:p w:rsidR="00EF782F" w:rsidRPr="00143086" w:rsidRDefault="00AA7F91" w:rsidP="00EF782F">
      <w:pPr>
        <w:pStyle w:val="ListParagraph"/>
        <w:numPr>
          <w:ilvl w:val="0"/>
          <w:numId w:val="36"/>
        </w:numPr>
        <w:spacing w:after="0" w:line="240" w:lineRule="auto"/>
      </w:pPr>
      <w:r w:rsidRPr="002C7B01">
        <w:rPr>
          <w:b/>
        </w:rPr>
        <w:t>People living with disability being co-located</w:t>
      </w:r>
      <w:r w:rsidR="008D13A4">
        <w:rPr>
          <w:b/>
        </w:rPr>
        <w:t>:</w:t>
      </w:r>
      <w:r>
        <w:t xml:space="preserve"> </w:t>
      </w:r>
      <w:r w:rsidR="002B6111">
        <w:t>It is more than</w:t>
      </w:r>
      <w:r w:rsidR="00EF782F" w:rsidRPr="00EF782F">
        <w:t xml:space="preserve"> the incompatibility of age g</w:t>
      </w:r>
      <w:r w:rsidR="002B6111">
        <w:t>roups that make residential</w:t>
      </w:r>
      <w:r w:rsidR="00EF782F" w:rsidRPr="00EF782F">
        <w:t xml:space="preserve"> care</w:t>
      </w:r>
      <w:r w:rsidR="002B6111">
        <w:t xml:space="preserve"> facilities</w:t>
      </w:r>
      <w:r w:rsidR="00EF782F" w:rsidRPr="00EF782F">
        <w:t xml:space="preserve"> inappropriate for young people. Young people don’t necessarily want to live with other young people living with disability</w:t>
      </w:r>
      <w:r w:rsidR="00EF782F" w:rsidRPr="00143086">
        <w:t xml:space="preserve"> in a residential care or group home setting; it may be a preference over living with people many years their senior, but is not an aspiration.</w:t>
      </w:r>
    </w:p>
    <w:p w:rsidR="00EF782F" w:rsidRDefault="00EF782F" w:rsidP="00EF782F">
      <w:pPr>
        <w:spacing w:after="0" w:line="240" w:lineRule="auto"/>
        <w:rPr>
          <w:rFonts w:cstheme="minorHAnsi"/>
          <w:sz w:val="24"/>
        </w:rPr>
      </w:pPr>
    </w:p>
    <w:p w:rsidR="0059358A" w:rsidRDefault="0059358A">
      <w:r>
        <w:br w:type="page"/>
      </w:r>
    </w:p>
    <w:p w:rsidR="00C879A1" w:rsidRPr="0059358A" w:rsidRDefault="00EF782F" w:rsidP="008376D9">
      <w:pPr>
        <w:rPr>
          <w:sz w:val="24"/>
          <w:szCs w:val="24"/>
          <w:lang w:val="en-US"/>
        </w:rPr>
      </w:pPr>
      <w:r w:rsidRPr="0059358A">
        <w:rPr>
          <w:sz w:val="24"/>
          <w:szCs w:val="24"/>
        </w:rPr>
        <w:lastRenderedPageBreak/>
        <w:t>It is reasonable to argue that very few people living in group homes would choose to live in such a setting if they had a realistic choice. It is a compromise brought about by necessity, as they do not have enough support through funding for paid support, even augmented by their family and informal support networks, to live in their own home</w:t>
      </w:r>
      <w:r w:rsidR="00D156DF" w:rsidRPr="0059358A">
        <w:rPr>
          <w:sz w:val="24"/>
          <w:szCs w:val="24"/>
        </w:rPr>
        <w:t>.</w:t>
      </w:r>
      <w:r w:rsidRPr="0059358A">
        <w:rPr>
          <w:rStyle w:val="FootnoteReference"/>
          <w:rFonts w:cstheme="minorHAnsi"/>
          <w:sz w:val="24"/>
          <w:szCs w:val="24"/>
        </w:rPr>
        <w:footnoteReference w:id="9"/>
      </w:r>
    </w:p>
    <w:p w:rsidR="009C1EA3" w:rsidRPr="0059358A" w:rsidRDefault="009C1EA3" w:rsidP="008376D9">
      <w:pPr>
        <w:spacing w:after="0" w:line="240" w:lineRule="auto"/>
        <w:rPr>
          <w:rFonts w:cstheme="minorHAnsi"/>
          <w:sz w:val="24"/>
          <w:szCs w:val="24"/>
        </w:rPr>
      </w:pPr>
      <w:r w:rsidRPr="0059358A">
        <w:rPr>
          <w:rFonts w:cstheme="minorHAnsi"/>
          <w:sz w:val="24"/>
          <w:szCs w:val="24"/>
        </w:rPr>
        <w:t>Research indicates internationally the situation is similar to that in Australia, in that younger people</w:t>
      </w:r>
      <w:r w:rsidR="00D156DF" w:rsidRPr="0059358A">
        <w:rPr>
          <w:rFonts w:cstheme="minorHAnsi"/>
          <w:sz w:val="24"/>
          <w:szCs w:val="24"/>
        </w:rPr>
        <w:t xml:space="preserve"> living</w:t>
      </w:r>
      <w:r w:rsidRPr="0059358A">
        <w:rPr>
          <w:rFonts w:cstheme="minorHAnsi"/>
          <w:sz w:val="24"/>
          <w:szCs w:val="24"/>
        </w:rPr>
        <w:t xml:space="preserve"> with significant disabilit</w:t>
      </w:r>
      <w:r w:rsidR="00D156DF" w:rsidRPr="0059358A">
        <w:rPr>
          <w:rFonts w:cstheme="minorHAnsi"/>
          <w:sz w:val="24"/>
          <w:szCs w:val="24"/>
        </w:rPr>
        <w:t>y</w:t>
      </w:r>
      <w:r w:rsidRPr="0059358A">
        <w:rPr>
          <w:rFonts w:cstheme="minorHAnsi"/>
          <w:sz w:val="24"/>
          <w:szCs w:val="24"/>
        </w:rPr>
        <w:t xml:space="preserve"> </w:t>
      </w:r>
      <w:r w:rsidR="002C7B01" w:rsidRPr="0059358A">
        <w:rPr>
          <w:rFonts w:cstheme="minorHAnsi"/>
          <w:sz w:val="24"/>
          <w:szCs w:val="24"/>
        </w:rPr>
        <w:t xml:space="preserve">are </w:t>
      </w:r>
      <w:r w:rsidRPr="0059358A">
        <w:rPr>
          <w:rFonts w:cstheme="minorHAnsi"/>
          <w:sz w:val="24"/>
          <w:szCs w:val="24"/>
        </w:rPr>
        <w:t xml:space="preserve">placed into residential aged care facilities if no other options are available. In 2014, a Monash University researcher commented </w:t>
      </w:r>
      <w:r w:rsidR="00D156DF" w:rsidRPr="0059358A">
        <w:rPr>
          <w:rFonts w:cstheme="minorHAnsi"/>
          <w:sz w:val="24"/>
          <w:szCs w:val="24"/>
        </w:rPr>
        <w:t>“</w:t>
      </w:r>
      <w:r w:rsidRPr="0059358A">
        <w:rPr>
          <w:rFonts w:cstheme="minorHAnsi"/>
          <w:sz w:val="24"/>
          <w:szCs w:val="24"/>
        </w:rPr>
        <w:t>Not enough accessible and affordable housing and support for people with disability is a worldwide issue.</w:t>
      </w:r>
      <w:r w:rsidR="00D156DF" w:rsidRPr="0059358A">
        <w:rPr>
          <w:rFonts w:cstheme="minorHAnsi"/>
          <w:sz w:val="24"/>
          <w:szCs w:val="24"/>
        </w:rPr>
        <w:t>”</w:t>
      </w:r>
      <w:r w:rsidRPr="0059358A">
        <w:rPr>
          <w:rStyle w:val="FootnoteReference"/>
          <w:rFonts w:cstheme="minorHAnsi"/>
          <w:sz w:val="24"/>
          <w:szCs w:val="24"/>
        </w:rPr>
        <w:footnoteReference w:id="10"/>
      </w:r>
    </w:p>
    <w:p w:rsidR="009C1EA3" w:rsidRPr="0059358A" w:rsidRDefault="009C1EA3" w:rsidP="009C1EA3">
      <w:pPr>
        <w:spacing w:after="0" w:line="240" w:lineRule="auto"/>
        <w:rPr>
          <w:rFonts w:cstheme="minorHAnsi"/>
          <w:sz w:val="24"/>
          <w:szCs w:val="24"/>
        </w:rPr>
      </w:pPr>
    </w:p>
    <w:p w:rsidR="009C1EA3" w:rsidRPr="0059358A" w:rsidRDefault="009C1EA3" w:rsidP="0073159F">
      <w:pPr>
        <w:spacing w:after="0" w:line="240" w:lineRule="auto"/>
        <w:rPr>
          <w:sz w:val="24"/>
          <w:szCs w:val="24"/>
        </w:rPr>
      </w:pPr>
      <w:r w:rsidRPr="0059358A">
        <w:rPr>
          <w:sz w:val="24"/>
          <w:szCs w:val="24"/>
        </w:rPr>
        <w:t xml:space="preserve">Monash University’s research indicates global data is scarce, but what is known is that in the USA, one in seven residents in residential aged care facilities is under 65, and since 2003 the population of younger residents in </w:t>
      </w:r>
      <w:r w:rsidR="002C7B01" w:rsidRPr="0059358A">
        <w:rPr>
          <w:sz w:val="24"/>
          <w:szCs w:val="24"/>
        </w:rPr>
        <w:t>aged care facilities</w:t>
      </w:r>
      <w:r w:rsidRPr="0059358A">
        <w:rPr>
          <w:sz w:val="24"/>
          <w:szCs w:val="24"/>
        </w:rPr>
        <w:t xml:space="preserve"> there has increased by 22 per cent. Canadian research has identified </w:t>
      </w:r>
      <w:r w:rsidR="002C7B01" w:rsidRPr="0059358A">
        <w:rPr>
          <w:sz w:val="24"/>
          <w:szCs w:val="24"/>
        </w:rPr>
        <w:t>aged care facilities</w:t>
      </w:r>
      <w:r w:rsidRPr="0059358A">
        <w:rPr>
          <w:sz w:val="24"/>
          <w:szCs w:val="24"/>
        </w:rPr>
        <w:t xml:space="preserve"> as an "inappropriate living environment" for people with acquired brain injury, but the research on which to model alternative arrangements is lacking. In the UK, recent research by a spinal injury charity says one in five people </w:t>
      </w:r>
      <w:r w:rsidR="009F321E" w:rsidRPr="0059358A">
        <w:rPr>
          <w:sz w:val="24"/>
          <w:szCs w:val="24"/>
        </w:rPr>
        <w:t xml:space="preserve">living </w:t>
      </w:r>
      <w:r w:rsidRPr="0059358A">
        <w:rPr>
          <w:sz w:val="24"/>
          <w:szCs w:val="24"/>
        </w:rPr>
        <w:t>with spinal injuries will end up in</w:t>
      </w:r>
      <w:r w:rsidR="009F321E" w:rsidRPr="0059358A">
        <w:rPr>
          <w:sz w:val="24"/>
          <w:szCs w:val="24"/>
        </w:rPr>
        <w:t xml:space="preserve"> and</w:t>
      </w:r>
      <w:r w:rsidRPr="0059358A">
        <w:rPr>
          <w:sz w:val="24"/>
          <w:szCs w:val="24"/>
        </w:rPr>
        <w:t xml:space="preserve"> aged care facilit</w:t>
      </w:r>
      <w:r w:rsidR="009F321E" w:rsidRPr="0059358A">
        <w:rPr>
          <w:sz w:val="24"/>
          <w:szCs w:val="24"/>
        </w:rPr>
        <w:t>y</w:t>
      </w:r>
      <w:r w:rsidRPr="0059358A">
        <w:rPr>
          <w:sz w:val="24"/>
          <w:szCs w:val="24"/>
        </w:rPr>
        <w:t xml:space="preserve"> because there is nowhere else for them to go.</w:t>
      </w:r>
      <w:r w:rsidRPr="0059358A">
        <w:rPr>
          <w:rStyle w:val="FootnoteReference"/>
          <w:rFonts w:cstheme="minorHAnsi"/>
          <w:sz w:val="24"/>
          <w:szCs w:val="24"/>
        </w:rPr>
        <w:footnoteReference w:id="11"/>
      </w:r>
    </w:p>
    <w:p w:rsidR="009C1EA3" w:rsidRPr="0073159F" w:rsidRDefault="009C1EA3" w:rsidP="0073159F">
      <w:pPr>
        <w:spacing w:after="0" w:line="240" w:lineRule="auto"/>
        <w:rPr>
          <w:lang w:val="en-US"/>
        </w:rPr>
      </w:pPr>
    </w:p>
    <w:p w:rsidR="00EF782F" w:rsidRDefault="00EF782F" w:rsidP="00695677">
      <w:pPr>
        <w:pStyle w:val="Heading3"/>
      </w:pPr>
      <w:bookmarkStart w:id="12" w:name="_Toc412197097"/>
      <w:bookmarkStart w:id="13" w:name="_Toc412197117"/>
      <w:bookmarkStart w:id="14" w:name="_Toc412197788"/>
      <w:r w:rsidRPr="00472C45">
        <w:t xml:space="preserve">Why are young people </w:t>
      </w:r>
      <w:r w:rsidR="009F321E" w:rsidRPr="00472C45">
        <w:t xml:space="preserve">living </w:t>
      </w:r>
      <w:r w:rsidRPr="00472C45">
        <w:t>with significant disabilit</w:t>
      </w:r>
      <w:r w:rsidR="009F321E" w:rsidRPr="00472C45">
        <w:t>y</w:t>
      </w:r>
      <w:r w:rsidRPr="00472C45">
        <w:t xml:space="preserve"> living in residential aged care facilities?</w:t>
      </w:r>
      <w:bookmarkEnd w:id="12"/>
      <w:bookmarkEnd w:id="13"/>
      <w:bookmarkEnd w:id="14"/>
    </w:p>
    <w:p w:rsidR="00695677" w:rsidRPr="0073159F" w:rsidRDefault="00695677" w:rsidP="0073159F">
      <w:pPr>
        <w:spacing w:after="0" w:line="240" w:lineRule="auto"/>
      </w:pPr>
    </w:p>
    <w:p w:rsidR="005A326A" w:rsidRPr="0059358A" w:rsidRDefault="00C92E04" w:rsidP="0073159F">
      <w:pPr>
        <w:spacing w:after="0" w:line="240" w:lineRule="auto"/>
        <w:rPr>
          <w:sz w:val="24"/>
          <w:szCs w:val="24"/>
        </w:rPr>
      </w:pPr>
      <w:r w:rsidRPr="0059358A">
        <w:rPr>
          <w:sz w:val="24"/>
          <w:szCs w:val="24"/>
          <w:lang w:val="en-US"/>
        </w:rPr>
        <w:t>Across Australia, approximately</w:t>
      </w:r>
      <w:r w:rsidR="00465AD0" w:rsidRPr="0059358A">
        <w:rPr>
          <w:sz w:val="24"/>
          <w:szCs w:val="24"/>
          <w:lang w:val="en-US"/>
        </w:rPr>
        <w:t xml:space="preserve"> 6</w:t>
      </w:r>
      <w:r w:rsidRPr="0059358A">
        <w:rPr>
          <w:sz w:val="24"/>
          <w:szCs w:val="24"/>
          <w:lang w:val="en-US"/>
        </w:rPr>
        <w:t>500</w:t>
      </w:r>
      <w:r w:rsidR="00465AD0" w:rsidRPr="0059358A">
        <w:rPr>
          <w:sz w:val="24"/>
          <w:szCs w:val="24"/>
          <w:lang w:val="en-US"/>
        </w:rPr>
        <w:t xml:space="preserve"> young</w:t>
      </w:r>
      <w:r w:rsidR="002B3D28" w:rsidRPr="0059358A">
        <w:rPr>
          <w:sz w:val="24"/>
          <w:szCs w:val="24"/>
          <w:lang w:val="en-US"/>
        </w:rPr>
        <w:t xml:space="preserve"> people live in r</w:t>
      </w:r>
      <w:r w:rsidR="006B1E40" w:rsidRPr="0059358A">
        <w:rPr>
          <w:sz w:val="24"/>
          <w:szCs w:val="24"/>
          <w:lang w:val="en-US"/>
        </w:rPr>
        <w:t>es</w:t>
      </w:r>
      <w:r w:rsidR="00135885" w:rsidRPr="0059358A">
        <w:rPr>
          <w:sz w:val="24"/>
          <w:szCs w:val="24"/>
          <w:lang w:val="en-US"/>
        </w:rPr>
        <w:t>idential aged care facilities</w:t>
      </w:r>
      <w:r w:rsidR="00B57584" w:rsidRPr="0059358A">
        <w:rPr>
          <w:sz w:val="24"/>
          <w:szCs w:val="24"/>
          <w:lang w:val="en-US"/>
        </w:rPr>
        <w:t xml:space="preserve">. </w:t>
      </w:r>
      <w:r w:rsidR="000534CB" w:rsidRPr="0059358A">
        <w:rPr>
          <w:sz w:val="24"/>
          <w:szCs w:val="24"/>
          <w:lang w:val="en-US"/>
        </w:rPr>
        <w:t>Nearly 700</w:t>
      </w:r>
      <w:r w:rsidR="002B3D28" w:rsidRPr="0059358A">
        <w:rPr>
          <w:sz w:val="24"/>
          <w:szCs w:val="24"/>
          <w:lang w:val="en-US"/>
        </w:rPr>
        <w:t xml:space="preserve"> </w:t>
      </w:r>
      <w:r w:rsidR="00B57584" w:rsidRPr="0059358A">
        <w:rPr>
          <w:sz w:val="24"/>
          <w:szCs w:val="24"/>
          <w:lang w:val="en-US"/>
        </w:rPr>
        <w:t xml:space="preserve">of these </w:t>
      </w:r>
      <w:r w:rsidR="002B3D28" w:rsidRPr="0059358A">
        <w:rPr>
          <w:sz w:val="24"/>
          <w:szCs w:val="24"/>
          <w:lang w:val="en-US"/>
        </w:rPr>
        <w:t xml:space="preserve">people </w:t>
      </w:r>
      <w:r w:rsidR="00246953" w:rsidRPr="0059358A">
        <w:rPr>
          <w:sz w:val="24"/>
          <w:szCs w:val="24"/>
          <w:lang w:val="en-US"/>
        </w:rPr>
        <w:t>are under</w:t>
      </w:r>
      <w:r w:rsidR="006A3B5A" w:rsidRPr="0059358A">
        <w:rPr>
          <w:sz w:val="24"/>
          <w:szCs w:val="24"/>
          <w:lang w:val="en-US"/>
        </w:rPr>
        <w:t xml:space="preserve"> the age of</w:t>
      </w:r>
      <w:r w:rsidR="00246953" w:rsidRPr="0059358A">
        <w:rPr>
          <w:sz w:val="24"/>
          <w:szCs w:val="24"/>
          <w:lang w:val="en-US"/>
        </w:rPr>
        <w:t xml:space="preserve"> 50</w:t>
      </w:r>
      <w:r w:rsidR="00B57584" w:rsidRPr="0059358A">
        <w:rPr>
          <w:sz w:val="24"/>
          <w:szCs w:val="24"/>
          <w:lang w:val="en-US"/>
        </w:rPr>
        <w:t>; with some</w:t>
      </w:r>
      <w:r w:rsidRPr="0059358A">
        <w:rPr>
          <w:sz w:val="24"/>
          <w:szCs w:val="24"/>
          <w:lang w:val="en-US"/>
        </w:rPr>
        <w:t xml:space="preserve"> </w:t>
      </w:r>
      <w:r w:rsidR="00B57584" w:rsidRPr="0059358A">
        <w:rPr>
          <w:sz w:val="24"/>
          <w:szCs w:val="24"/>
          <w:lang w:val="en-US"/>
        </w:rPr>
        <w:t>5</w:t>
      </w:r>
      <w:r w:rsidR="006A3B5A" w:rsidRPr="0059358A">
        <w:rPr>
          <w:sz w:val="24"/>
          <w:szCs w:val="24"/>
          <w:lang w:val="en-US"/>
        </w:rPr>
        <w:t xml:space="preserve"> per cent</w:t>
      </w:r>
      <w:r w:rsidR="00B57584" w:rsidRPr="0059358A">
        <w:rPr>
          <w:sz w:val="24"/>
          <w:szCs w:val="24"/>
          <w:lang w:val="en-US"/>
        </w:rPr>
        <w:t xml:space="preserve"> of that cohort</w:t>
      </w:r>
      <w:r w:rsidRPr="0059358A">
        <w:rPr>
          <w:sz w:val="24"/>
          <w:szCs w:val="24"/>
          <w:lang w:val="en-US"/>
        </w:rPr>
        <w:t xml:space="preserve"> under </w:t>
      </w:r>
      <w:r w:rsidR="006A3B5A" w:rsidRPr="0059358A">
        <w:rPr>
          <w:sz w:val="24"/>
          <w:szCs w:val="24"/>
          <w:lang w:val="en-US"/>
        </w:rPr>
        <w:t xml:space="preserve">the age of </w:t>
      </w:r>
      <w:r w:rsidRPr="0059358A">
        <w:rPr>
          <w:sz w:val="24"/>
          <w:szCs w:val="24"/>
          <w:lang w:val="en-US"/>
        </w:rPr>
        <w:t>30.</w:t>
      </w:r>
      <w:r w:rsidRPr="0059358A">
        <w:rPr>
          <w:rStyle w:val="FootnoteReference"/>
          <w:rFonts w:cstheme="minorHAnsi"/>
          <w:sz w:val="24"/>
          <w:szCs w:val="24"/>
          <w:lang w:val="en-US"/>
        </w:rPr>
        <w:t xml:space="preserve"> </w:t>
      </w:r>
      <w:r w:rsidR="005A326A" w:rsidRPr="0059358A">
        <w:rPr>
          <w:sz w:val="24"/>
          <w:szCs w:val="24"/>
        </w:rPr>
        <w:t xml:space="preserve">In </w:t>
      </w:r>
      <w:r w:rsidR="00246953" w:rsidRPr="0059358A">
        <w:rPr>
          <w:sz w:val="24"/>
          <w:szCs w:val="24"/>
        </w:rPr>
        <w:t>S</w:t>
      </w:r>
      <w:r w:rsidR="006A3B5A" w:rsidRPr="0059358A">
        <w:rPr>
          <w:sz w:val="24"/>
          <w:szCs w:val="24"/>
        </w:rPr>
        <w:t xml:space="preserve">outh </w:t>
      </w:r>
      <w:r w:rsidR="00246953" w:rsidRPr="0059358A">
        <w:rPr>
          <w:sz w:val="24"/>
          <w:szCs w:val="24"/>
        </w:rPr>
        <w:t>A</w:t>
      </w:r>
      <w:r w:rsidR="006A3B5A" w:rsidRPr="0059358A">
        <w:rPr>
          <w:sz w:val="24"/>
          <w:szCs w:val="24"/>
        </w:rPr>
        <w:t>ustralia</w:t>
      </w:r>
      <w:r w:rsidR="00246953" w:rsidRPr="0059358A">
        <w:rPr>
          <w:sz w:val="24"/>
          <w:szCs w:val="24"/>
        </w:rPr>
        <w:t xml:space="preserve"> in </w:t>
      </w:r>
      <w:r w:rsidR="005A326A" w:rsidRPr="0059358A">
        <w:rPr>
          <w:sz w:val="24"/>
          <w:szCs w:val="24"/>
        </w:rPr>
        <w:t>2010</w:t>
      </w:r>
      <w:r w:rsidR="004158BA" w:rsidRPr="0059358A">
        <w:rPr>
          <w:sz w:val="24"/>
          <w:szCs w:val="24"/>
        </w:rPr>
        <w:t>, 473</w:t>
      </w:r>
      <w:r w:rsidR="005A326A" w:rsidRPr="0059358A">
        <w:rPr>
          <w:sz w:val="24"/>
          <w:szCs w:val="24"/>
        </w:rPr>
        <w:t xml:space="preserve"> </w:t>
      </w:r>
      <w:r w:rsidR="00246953" w:rsidRPr="0059358A">
        <w:rPr>
          <w:sz w:val="24"/>
          <w:szCs w:val="24"/>
        </w:rPr>
        <w:t>people under the age of 65 lived in residential aged care facilities</w:t>
      </w:r>
      <w:r w:rsidR="005A326A" w:rsidRPr="0059358A">
        <w:rPr>
          <w:sz w:val="24"/>
          <w:szCs w:val="24"/>
        </w:rPr>
        <w:t>.</w:t>
      </w:r>
      <w:r w:rsidR="005A326A" w:rsidRPr="0059358A">
        <w:rPr>
          <w:rStyle w:val="FootnoteReference"/>
          <w:rFonts w:cstheme="minorHAnsi"/>
          <w:sz w:val="24"/>
          <w:szCs w:val="24"/>
        </w:rPr>
        <w:footnoteReference w:id="12"/>
      </w:r>
    </w:p>
    <w:p w:rsidR="006A3B5A" w:rsidRPr="0059358A" w:rsidRDefault="006A3B5A" w:rsidP="0073159F">
      <w:pPr>
        <w:spacing w:after="0" w:line="240" w:lineRule="auto"/>
        <w:rPr>
          <w:sz w:val="24"/>
          <w:szCs w:val="24"/>
        </w:rPr>
      </w:pPr>
    </w:p>
    <w:p w:rsidR="00800916" w:rsidRPr="0059358A" w:rsidRDefault="00AA7F91" w:rsidP="007C3D88">
      <w:pPr>
        <w:spacing w:after="0" w:line="240" w:lineRule="auto"/>
        <w:rPr>
          <w:sz w:val="24"/>
          <w:szCs w:val="24"/>
        </w:rPr>
      </w:pPr>
      <w:r w:rsidRPr="0059358A">
        <w:rPr>
          <w:sz w:val="24"/>
          <w:szCs w:val="24"/>
        </w:rPr>
        <w:t>The work of JFA Purple Orange highlights t</w:t>
      </w:r>
      <w:r w:rsidR="00EF782F" w:rsidRPr="0059358A">
        <w:rPr>
          <w:sz w:val="24"/>
          <w:szCs w:val="24"/>
        </w:rPr>
        <w:t xml:space="preserve">here is a range of contributing factors which may trigger a </w:t>
      </w:r>
      <w:r w:rsidR="00B83F33" w:rsidRPr="0059358A">
        <w:rPr>
          <w:sz w:val="24"/>
          <w:szCs w:val="24"/>
        </w:rPr>
        <w:t>change in living circumstances</w:t>
      </w:r>
      <w:r w:rsidR="00EF782F" w:rsidRPr="0059358A">
        <w:rPr>
          <w:sz w:val="24"/>
          <w:szCs w:val="24"/>
        </w:rPr>
        <w:t xml:space="preserve"> for a young person</w:t>
      </w:r>
      <w:r w:rsidR="009F321E" w:rsidRPr="0059358A">
        <w:rPr>
          <w:sz w:val="24"/>
          <w:szCs w:val="24"/>
        </w:rPr>
        <w:t xml:space="preserve"> living</w:t>
      </w:r>
      <w:r w:rsidR="00EF782F" w:rsidRPr="0059358A">
        <w:rPr>
          <w:sz w:val="24"/>
          <w:szCs w:val="24"/>
        </w:rPr>
        <w:t xml:space="preserve"> with significant disability; often coinciding with a crisis point i</w:t>
      </w:r>
      <w:r w:rsidR="009C1EA3" w:rsidRPr="0059358A">
        <w:rPr>
          <w:sz w:val="24"/>
          <w:szCs w:val="24"/>
        </w:rPr>
        <w:t xml:space="preserve">n their life. </w:t>
      </w:r>
    </w:p>
    <w:p w:rsidR="007C3D88" w:rsidRPr="007C3D88" w:rsidRDefault="007C3D88" w:rsidP="007C3D88">
      <w:pPr>
        <w:spacing w:after="0" w:line="240" w:lineRule="auto"/>
      </w:pPr>
    </w:p>
    <w:p w:rsidR="007614A3" w:rsidRDefault="007614A3">
      <w:pPr>
        <w:rPr>
          <w:rFonts w:cstheme="minorHAnsi"/>
          <w:sz w:val="24"/>
        </w:rPr>
      </w:pPr>
      <w:r>
        <w:rPr>
          <w:rFonts w:cstheme="minorHAnsi"/>
          <w:sz w:val="24"/>
        </w:rPr>
        <w:br w:type="page"/>
      </w:r>
    </w:p>
    <w:p w:rsidR="009F321E" w:rsidRDefault="00C454CD" w:rsidP="008376D9">
      <w:pPr>
        <w:rPr>
          <w:rFonts w:cstheme="minorHAnsi"/>
          <w:sz w:val="24"/>
        </w:rPr>
      </w:pPr>
      <w:r>
        <w:rPr>
          <w:rFonts w:cstheme="minorHAnsi"/>
          <w:sz w:val="24"/>
        </w:rPr>
        <w:lastRenderedPageBreak/>
        <w:t>Trigger points include</w:t>
      </w:r>
      <w:r w:rsidR="009C1EA3">
        <w:rPr>
          <w:rFonts w:cstheme="minorHAnsi"/>
          <w:sz w:val="24"/>
        </w:rPr>
        <w:t>:</w:t>
      </w:r>
    </w:p>
    <w:p w:rsidR="009C1EA3" w:rsidRDefault="009C1EA3" w:rsidP="009C1EA3">
      <w:pPr>
        <w:pStyle w:val="ListParagraph"/>
        <w:numPr>
          <w:ilvl w:val="0"/>
          <w:numId w:val="39"/>
        </w:numPr>
        <w:spacing w:after="0" w:line="240" w:lineRule="auto"/>
      </w:pPr>
      <w:r w:rsidRPr="009C1EA3">
        <w:t>a traumatic accident or event</w:t>
      </w:r>
    </w:p>
    <w:p w:rsidR="009C1EA3" w:rsidRDefault="00EF782F" w:rsidP="009C1EA3">
      <w:pPr>
        <w:pStyle w:val="ListParagraph"/>
        <w:numPr>
          <w:ilvl w:val="0"/>
          <w:numId w:val="39"/>
        </w:numPr>
        <w:spacing w:after="0" w:line="240" w:lineRule="auto"/>
      </w:pPr>
      <w:r w:rsidRPr="009C1EA3">
        <w:t xml:space="preserve">declining </w:t>
      </w:r>
      <w:r w:rsidR="009C1EA3">
        <w:t xml:space="preserve">general </w:t>
      </w:r>
      <w:r w:rsidRPr="009C1EA3">
        <w:t>health</w:t>
      </w:r>
    </w:p>
    <w:p w:rsidR="009C1EA3" w:rsidRDefault="009C1EA3" w:rsidP="009C1EA3">
      <w:pPr>
        <w:pStyle w:val="ListParagraph"/>
        <w:numPr>
          <w:ilvl w:val="0"/>
          <w:numId w:val="39"/>
        </w:numPr>
        <w:spacing w:after="0" w:line="240" w:lineRule="auto"/>
      </w:pPr>
      <w:r>
        <w:t>carer’s</w:t>
      </w:r>
      <w:r w:rsidR="00EF782F" w:rsidRPr="009C1EA3">
        <w:t xml:space="preserve"> age or ill health</w:t>
      </w:r>
    </w:p>
    <w:p w:rsidR="009C1EA3" w:rsidRDefault="009C1EA3" w:rsidP="009C1EA3">
      <w:pPr>
        <w:pStyle w:val="ListParagraph"/>
        <w:numPr>
          <w:ilvl w:val="0"/>
          <w:numId w:val="39"/>
        </w:numPr>
        <w:spacing w:after="0" w:line="240" w:lineRule="auto"/>
      </w:pPr>
      <w:r>
        <w:t>carer burn out</w:t>
      </w:r>
    </w:p>
    <w:p w:rsidR="009C1EA3" w:rsidRDefault="00EF782F" w:rsidP="009C1EA3">
      <w:pPr>
        <w:pStyle w:val="ListParagraph"/>
        <w:numPr>
          <w:ilvl w:val="0"/>
          <w:numId w:val="39"/>
        </w:numPr>
        <w:spacing w:after="0" w:line="240" w:lineRule="auto"/>
      </w:pPr>
      <w:r w:rsidRPr="009C1EA3">
        <w:t>the family home being unsuitable for modification or specialised equipment</w:t>
      </w:r>
    </w:p>
    <w:p w:rsidR="009C1EA3" w:rsidRDefault="009C1EA3" w:rsidP="009C1EA3">
      <w:pPr>
        <w:pStyle w:val="ListParagraph"/>
        <w:numPr>
          <w:ilvl w:val="0"/>
          <w:numId w:val="39"/>
        </w:numPr>
        <w:spacing w:after="0" w:line="240" w:lineRule="auto"/>
      </w:pPr>
      <w:r>
        <w:t>general cost of care</w:t>
      </w:r>
      <w:r w:rsidR="002B6111">
        <w:t>.</w:t>
      </w:r>
    </w:p>
    <w:p w:rsidR="009C1EA3" w:rsidRDefault="009C1EA3" w:rsidP="009C1EA3">
      <w:pPr>
        <w:spacing w:after="0" w:line="240" w:lineRule="auto"/>
        <w:ind w:left="360"/>
      </w:pPr>
    </w:p>
    <w:p w:rsidR="00B83F33" w:rsidRDefault="002B6111" w:rsidP="009C1EA3">
      <w:pPr>
        <w:spacing w:after="0" w:line="240" w:lineRule="auto"/>
        <w:rPr>
          <w:sz w:val="24"/>
          <w:szCs w:val="24"/>
        </w:rPr>
      </w:pPr>
      <w:r>
        <w:rPr>
          <w:sz w:val="24"/>
          <w:szCs w:val="24"/>
        </w:rPr>
        <w:t>These factors</w:t>
      </w:r>
      <w:r w:rsidR="00EF782F" w:rsidRPr="009C1EA3">
        <w:rPr>
          <w:sz w:val="24"/>
          <w:szCs w:val="24"/>
        </w:rPr>
        <w:t xml:space="preserve"> have a huge impact on the sustainability of housing for people living with disability. </w:t>
      </w:r>
      <w:r>
        <w:rPr>
          <w:sz w:val="24"/>
          <w:szCs w:val="24"/>
        </w:rPr>
        <w:t>Currently, t</w:t>
      </w:r>
      <w:r w:rsidR="00EF782F" w:rsidRPr="009C1EA3">
        <w:rPr>
          <w:sz w:val="24"/>
          <w:szCs w:val="24"/>
        </w:rPr>
        <w:t xml:space="preserve">o receive the </w:t>
      </w:r>
      <w:r w:rsidR="00622A7A">
        <w:rPr>
          <w:sz w:val="24"/>
          <w:szCs w:val="24"/>
        </w:rPr>
        <w:t>support</w:t>
      </w:r>
      <w:r w:rsidR="00622A7A" w:rsidRPr="009C1EA3">
        <w:rPr>
          <w:sz w:val="24"/>
          <w:szCs w:val="24"/>
        </w:rPr>
        <w:t xml:space="preserve"> </w:t>
      </w:r>
      <w:r w:rsidR="00EF782F" w:rsidRPr="009C1EA3">
        <w:rPr>
          <w:sz w:val="24"/>
          <w:szCs w:val="24"/>
        </w:rPr>
        <w:t xml:space="preserve">they require, </w:t>
      </w:r>
      <w:r w:rsidR="00622A7A">
        <w:rPr>
          <w:sz w:val="24"/>
          <w:szCs w:val="24"/>
        </w:rPr>
        <w:t xml:space="preserve">many </w:t>
      </w:r>
      <w:r w:rsidR="00EF782F" w:rsidRPr="009C1EA3">
        <w:rPr>
          <w:sz w:val="24"/>
          <w:szCs w:val="24"/>
        </w:rPr>
        <w:t xml:space="preserve">younger people have no choice but to move </w:t>
      </w:r>
      <w:r w:rsidR="00D00E64">
        <w:rPr>
          <w:sz w:val="24"/>
          <w:szCs w:val="24"/>
        </w:rPr>
        <w:t>in</w:t>
      </w:r>
      <w:r w:rsidR="00EF782F" w:rsidRPr="009C1EA3">
        <w:rPr>
          <w:sz w:val="24"/>
          <w:szCs w:val="24"/>
        </w:rPr>
        <w:t>to a residential aged care facility</w:t>
      </w:r>
      <w:r w:rsidR="0094271B">
        <w:rPr>
          <w:sz w:val="24"/>
          <w:szCs w:val="24"/>
        </w:rPr>
        <w:t>.</w:t>
      </w:r>
      <w:r w:rsidR="00EF782F" w:rsidRPr="009C1EA3">
        <w:rPr>
          <w:sz w:val="24"/>
          <w:szCs w:val="24"/>
        </w:rPr>
        <w:t xml:space="preserve"> </w:t>
      </w:r>
    </w:p>
    <w:p w:rsidR="00DF2983" w:rsidRDefault="00DF2983" w:rsidP="009C1EA3">
      <w:pPr>
        <w:spacing w:after="0" w:line="240" w:lineRule="auto"/>
        <w:rPr>
          <w:sz w:val="24"/>
          <w:szCs w:val="24"/>
        </w:rPr>
      </w:pPr>
    </w:p>
    <w:p w:rsidR="00FF05A2" w:rsidRDefault="00B83F33" w:rsidP="009C1EA3">
      <w:pPr>
        <w:spacing w:after="0" w:line="240" w:lineRule="auto"/>
        <w:rPr>
          <w:sz w:val="24"/>
          <w:szCs w:val="24"/>
        </w:rPr>
      </w:pPr>
      <w:r>
        <w:rPr>
          <w:sz w:val="24"/>
          <w:szCs w:val="24"/>
        </w:rPr>
        <w:t>The work of JFA Purple Orange indicates the trigger points</w:t>
      </w:r>
      <w:r w:rsidR="00622A7A">
        <w:rPr>
          <w:sz w:val="24"/>
          <w:szCs w:val="24"/>
        </w:rPr>
        <w:t xml:space="preserve"> in isolation</w:t>
      </w:r>
      <w:r>
        <w:rPr>
          <w:sz w:val="24"/>
          <w:szCs w:val="24"/>
        </w:rPr>
        <w:t xml:space="preserve"> are not the causes of young people ending up in residential aged care</w:t>
      </w:r>
      <w:r w:rsidR="00622A7A">
        <w:rPr>
          <w:sz w:val="24"/>
          <w:szCs w:val="24"/>
        </w:rPr>
        <w:t>. I</w:t>
      </w:r>
      <w:r>
        <w:rPr>
          <w:sz w:val="24"/>
          <w:szCs w:val="24"/>
        </w:rPr>
        <w:t xml:space="preserve">t is </w:t>
      </w:r>
      <w:r w:rsidR="00622A7A">
        <w:rPr>
          <w:sz w:val="24"/>
          <w:szCs w:val="24"/>
        </w:rPr>
        <w:t xml:space="preserve">often </w:t>
      </w:r>
      <w:r>
        <w:rPr>
          <w:sz w:val="24"/>
          <w:szCs w:val="24"/>
        </w:rPr>
        <w:t xml:space="preserve">the failure in the response to these </w:t>
      </w:r>
      <w:r w:rsidR="00E96D1C">
        <w:rPr>
          <w:sz w:val="24"/>
          <w:szCs w:val="24"/>
        </w:rPr>
        <w:t>transition</w:t>
      </w:r>
      <w:r w:rsidR="00D00E64">
        <w:rPr>
          <w:sz w:val="24"/>
          <w:szCs w:val="24"/>
        </w:rPr>
        <w:t xml:space="preserve"> </w:t>
      </w:r>
      <w:r>
        <w:rPr>
          <w:sz w:val="24"/>
          <w:szCs w:val="24"/>
        </w:rPr>
        <w:t xml:space="preserve">points which result in residential aged care being the only or </w:t>
      </w:r>
      <w:r w:rsidR="00D00E64">
        <w:rPr>
          <w:sz w:val="24"/>
          <w:szCs w:val="24"/>
        </w:rPr>
        <w:t>“</w:t>
      </w:r>
      <w:r>
        <w:rPr>
          <w:sz w:val="24"/>
          <w:szCs w:val="24"/>
        </w:rPr>
        <w:t>best of a bad situation</w:t>
      </w:r>
      <w:r w:rsidR="00D00E64">
        <w:rPr>
          <w:sz w:val="24"/>
          <w:szCs w:val="24"/>
        </w:rPr>
        <w:t>”</w:t>
      </w:r>
      <w:r>
        <w:rPr>
          <w:sz w:val="24"/>
          <w:szCs w:val="24"/>
        </w:rPr>
        <w:t xml:space="preserve"> solution. </w:t>
      </w:r>
    </w:p>
    <w:p w:rsidR="00CC4D80" w:rsidRDefault="00CC4D80" w:rsidP="009C1EA3">
      <w:pPr>
        <w:spacing w:after="0" w:line="240" w:lineRule="auto"/>
        <w:rPr>
          <w:sz w:val="24"/>
          <w:szCs w:val="24"/>
        </w:rPr>
      </w:pPr>
    </w:p>
    <w:p w:rsidR="00C17399" w:rsidRDefault="00FF05A2" w:rsidP="0094271B">
      <w:pPr>
        <w:spacing w:after="0" w:line="240" w:lineRule="auto"/>
        <w:rPr>
          <w:sz w:val="24"/>
          <w:szCs w:val="24"/>
        </w:rPr>
      </w:pPr>
      <w:r>
        <w:rPr>
          <w:rFonts w:cstheme="minorHAnsi"/>
          <w:sz w:val="24"/>
        </w:rPr>
        <w:t>From our experience t</w:t>
      </w:r>
      <w:r w:rsidR="00C17399">
        <w:rPr>
          <w:rFonts w:cstheme="minorHAnsi"/>
          <w:sz w:val="24"/>
        </w:rPr>
        <w:t xml:space="preserve">here is often systemic failure at these key transition points, despite the efforts of hard-working practitioners. </w:t>
      </w:r>
      <w:r w:rsidR="00DF2983">
        <w:rPr>
          <w:sz w:val="24"/>
          <w:szCs w:val="24"/>
        </w:rPr>
        <w:t xml:space="preserve">The disability sector </w:t>
      </w:r>
      <w:r w:rsidR="00C17399">
        <w:rPr>
          <w:sz w:val="24"/>
          <w:szCs w:val="24"/>
        </w:rPr>
        <w:t xml:space="preserve">needs to interconnect </w:t>
      </w:r>
      <w:r w:rsidR="00713626">
        <w:rPr>
          <w:sz w:val="24"/>
          <w:szCs w:val="24"/>
        </w:rPr>
        <w:t xml:space="preserve">better </w:t>
      </w:r>
      <w:r w:rsidR="00C17399">
        <w:rPr>
          <w:sz w:val="24"/>
          <w:szCs w:val="24"/>
        </w:rPr>
        <w:t>with the health, rehabilitation, education and social welfare systems.</w:t>
      </w:r>
    </w:p>
    <w:p w:rsidR="00C17399" w:rsidRDefault="00C17399" w:rsidP="0094271B">
      <w:pPr>
        <w:spacing w:after="0" w:line="240" w:lineRule="auto"/>
        <w:rPr>
          <w:sz w:val="24"/>
          <w:szCs w:val="24"/>
        </w:rPr>
      </w:pPr>
    </w:p>
    <w:p w:rsidR="00FF05A2" w:rsidRPr="00486C2C" w:rsidRDefault="00713626" w:rsidP="00CC4D80">
      <w:pPr>
        <w:spacing w:after="0" w:line="240" w:lineRule="auto"/>
        <w:rPr>
          <w:szCs w:val="24"/>
        </w:rPr>
      </w:pPr>
      <w:r>
        <w:rPr>
          <w:sz w:val="24"/>
          <w:szCs w:val="24"/>
        </w:rPr>
        <w:t xml:space="preserve">JFA Purple Orange </w:t>
      </w:r>
      <w:r w:rsidR="00E96D1C">
        <w:rPr>
          <w:sz w:val="24"/>
          <w:szCs w:val="24"/>
        </w:rPr>
        <w:t>observes</w:t>
      </w:r>
      <w:r>
        <w:rPr>
          <w:sz w:val="24"/>
          <w:szCs w:val="24"/>
        </w:rPr>
        <w:t xml:space="preserve"> p</w:t>
      </w:r>
      <w:r w:rsidR="00FF05A2" w:rsidRPr="00CC4D80">
        <w:rPr>
          <w:sz w:val="24"/>
          <w:szCs w:val="24"/>
        </w:rPr>
        <w:t xml:space="preserve">eople living with disability </w:t>
      </w:r>
      <w:r w:rsidR="00FF05A2">
        <w:rPr>
          <w:sz w:val="24"/>
          <w:szCs w:val="24"/>
        </w:rPr>
        <w:t xml:space="preserve">and families often have limited support to </w:t>
      </w:r>
      <w:r w:rsidR="00FF05A2" w:rsidRPr="00CC4D80">
        <w:rPr>
          <w:sz w:val="24"/>
          <w:szCs w:val="24"/>
        </w:rPr>
        <w:t xml:space="preserve">increase/release their capacity to imagine a range of positive outcomes, plan and make informed choices. </w:t>
      </w:r>
    </w:p>
    <w:p w:rsidR="00FF05A2" w:rsidRDefault="00FF05A2" w:rsidP="0094271B">
      <w:pPr>
        <w:spacing w:after="0" w:line="240" w:lineRule="auto"/>
        <w:rPr>
          <w:sz w:val="24"/>
          <w:szCs w:val="24"/>
        </w:rPr>
      </w:pPr>
    </w:p>
    <w:p w:rsidR="00713626" w:rsidRDefault="00C17399" w:rsidP="0094271B">
      <w:pPr>
        <w:spacing w:after="0" w:line="240" w:lineRule="auto"/>
        <w:rPr>
          <w:sz w:val="24"/>
          <w:szCs w:val="24"/>
        </w:rPr>
      </w:pPr>
      <w:r>
        <w:rPr>
          <w:sz w:val="24"/>
          <w:szCs w:val="24"/>
        </w:rPr>
        <w:t xml:space="preserve">This </w:t>
      </w:r>
      <w:r w:rsidR="00713626">
        <w:rPr>
          <w:sz w:val="24"/>
          <w:szCs w:val="24"/>
        </w:rPr>
        <w:t>often occurs at</w:t>
      </w:r>
      <w:r w:rsidR="00DF2983">
        <w:rPr>
          <w:sz w:val="24"/>
          <w:szCs w:val="24"/>
        </w:rPr>
        <w:t xml:space="preserve"> </w:t>
      </w:r>
      <w:r w:rsidR="0094271B">
        <w:rPr>
          <w:sz w:val="24"/>
          <w:szCs w:val="24"/>
        </w:rPr>
        <w:t>transition</w:t>
      </w:r>
      <w:r w:rsidR="00713626">
        <w:rPr>
          <w:sz w:val="24"/>
          <w:szCs w:val="24"/>
        </w:rPr>
        <w:t>:</w:t>
      </w:r>
      <w:r w:rsidR="00DF2983">
        <w:rPr>
          <w:sz w:val="24"/>
          <w:szCs w:val="24"/>
        </w:rPr>
        <w:t xml:space="preserve"> </w:t>
      </w:r>
    </w:p>
    <w:p w:rsidR="006F3B39" w:rsidRDefault="006F3B39" w:rsidP="0094271B">
      <w:pPr>
        <w:spacing w:after="0" w:line="240" w:lineRule="auto"/>
        <w:rPr>
          <w:sz w:val="24"/>
          <w:szCs w:val="24"/>
        </w:rPr>
      </w:pPr>
    </w:p>
    <w:p w:rsidR="00713626" w:rsidRPr="00FF23AF" w:rsidRDefault="00713626" w:rsidP="00CC4D80">
      <w:pPr>
        <w:pStyle w:val="ListParagraph"/>
        <w:numPr>
          <w:ilvl w:val="0"/>
          <w:numId w:val="44"/>
        </w:numPr>
        <w:spacing w:after="0" w:line="240" w:lineRule="auto"/>
      </w:pPr>
      <w:r>
        <w:t xml:space="preserve">to </w:t>
      </w:r>
      <w:r w:rsidR="0094271B" w:rsidRPr="000E4E56">
        <w:t>in</w:t>
      </w:r>
      <w:r w:rsidR="00DF2983" w:rsidRPr="00FF23AF">
        <w:t>dependent living</w:t>
      </w:r>
      <w:r w:rsidR="0094271B" w:rsidRPr="00FF23AF">
        <w:t xml:space="preserve"> </w:t>
      </w:r>
      <w:r>
        <w:t xml:space="preserve">at </w:t>
      </w:r>
      <w:r w:rsidR="0094271B" w:rsidRPr="000E4E56">
        <w:t>early adulthood</w:t>
      </w:r>
    </w:p>
    <w:p w:rsidR="00713626" w:rsidRPr="00FF23AF" w:rsidRDefault="0094271B" w:rsidP="00CC4D80">
      <w:pPr>
        <w:pStyle w:val="ListParagraph"/>
        <w:numPr>
          <w:ilvl w:val="0"/>
          <w:numId w:val="44"/>
        </w:numPr>
        <w:spacing w:after="0" w:line="240" w:lineRule="auto"/>
      </w:pPr>
      <w:r w:rsidRPr="00FF23AF">
        <w:t>post-hospitalisation</w:t>
      </w:r>
      <w:r w:rsidR="00713626">
        <w:t xml:space="preserve"> </w:t>
      </w:r>
      <w:r w:rsidR="00CC4D80">
        <w:t>and</w:t>
      </w:r>
      <w:r w:rsidR="00713626">
        <w:t xml:space="preserve"> rehabilitatio</w:t>
      </w:r>
      <w:r w:rsidR="00E96D1C">
        <w:t>n</w:t>
      </w:r>
    </w:p>
    <w:p w:rsidR="00713626" w:rsidRDefault="00713626" w:rsidP="00CC4D80">
      <w:pPr>
        <w:pStyle w:val="ListParagraph"/>
        <w:numPr>
          <w:ilvl w:val="0"/>
          <w:numId w:val="44"/>
        </w:numPr>
        <w:spacing w:after="0" w:line="240" w:lineRule="auto"/>
      </w:pPr>
      <w:r>
        <w:t xml:space="preserve">due to </w:t>
      </w:r>
      <w:r w:rsidR="0094271B" w:rsidRPr="000E4E56">
        <w:t xml:space="preserve">the </w:t>
      </w:r>
      <w:r>
        <w:t>ag</w:t>
      </w:r>
      <w:r w:rsidR="00CC4D80">
        <w:t>e</w:t>
      </w:r>
      <w:r>
        <w:t xml:space="preserve">ing, </w:t>
      </w:r>
      <w:r w:rsidR="0094271B" w:rsidRPr="000E4E56">
        <w:t>illness</w:t>
      </w:r>
      <w:r w:rsidR="0094271B" w:rsidRPr="00FF23AF">
        <w:t xml:space="preserve"> or death of a primary carer</w:t>
      </w:r>
    </w:p>
    <w:p w:rsidR="00713626" w:rsidRPr="00FF23AF" w:rsidRDefault="00713626" w:rsidP="00CC4D80">
      <w:pPr>
        <w:pStyle w:val="ListParagraph"/>
        <w:numPr>
          <w:ilvl w:val="0"/>
          <w:numId w:val="44"/>
        </w:numPr>
        <w:spacing w:after="0" w:line="240" w:lineRule="auto"/>
      </w:pPr>
      <w:r>
        <w:t>due to a change in personal capacity of an individual or their service provision</w:t>
      </w:r>
      <w:r w:rsidR="00E96D1C">
        <w:t>.</w:t>
      </w:r>
      <w:r w:rsidR="00DF2983" w:rsidRPr="00FF23AF">
        <w:t xml:space="preserve"> </w:t>
      </w:r>
    </w:p>
    <w:p w:rsidR="00713626" w:rsidRDefault="00713626" w:rsidP="0094271B">
      <w:pPr>
        <w:spacing w:after="0" w:line="240" w:lineRule="auto"/>
        <w:rPr>
          <w:sz w:val="24"/>
          <w:szCs w:val="24"/>
        </w:rPr>
      </w:pPr>
    </w:p>
    <w:p w:rsidR="00DF2983" w:rsidRDefault="001E2EB4" w:rsidP="007614A3">
      <w:pPr>
        <w:rPr>
          <w:sz w:val="24"/>
          <w:szCs w:val="24"/>
        </w:rPr>
      </w:pPr>
      <w:r>
        <w:rPr>
          <w:sz w:val="24"/>
          <w:szCs w:val="24"/>
        </w:rPr>
        <w:br w:type="page"/>
      </w:r>
      <w:r w:rsidR="00DF2983">
        <w:rPr>
          <w:sz w:val="24"/>
          <w:szCs w:val="24"/>
        </w:rPr>
        <w:lastRenderedPageBreak/>
        <w:t>As the</w:t>
      </w:r>
      <w:r w:rsidR="0094271B">
        <w:rPr>
          <w:sz w:val="24"/>
          <w:szCs w:val="24"/>
        </w:rPr>
        <w:t xml:space="preserve"> </w:t>
      </w:r>
      <w:r w:rsidR="0094271B" w:rsidRPr="00DA6787">
        <w:rPr>
          <w:sz w:val="24"/>
          <w:szCs w:val="24"/>
        </w:rPr>
        <w:t xml:space="preserve">Productivity Commission Inquiry Report into Disability Care and Support </w:t>
      </w:r>
      <w:r w:rsidR="0094271B">
        <w:rPr>
          <w:sz w:val="24"/>
          <w:szCs w:val="24"/>
        </w:rPr>
        <w:t xml:space="preserve">(2011) </w:t>
      </w:r>
      <w:r w:rsidR="00DF2983">
        <w:rPr>
          <w:sz w:val="24"/>
          <w:szCs w:val="24"/>
        </w:rPr>
        <w:t>note</w:t>
      </w:r>
      <w:r w:rsidR="00885AAB">
        <w:rPr>
          <w:sz w:val="24"/>
          <w:szCs w:val="24"/>
        </w:rPr>
        <w:t>d</w:t>
      </w:r>
      <w:r w:rsidR="00DF2983">
        <w:rPr>
          <w:sz w:val="24"/>
          <w:szCs w:val="24"/>
        </w:rPr>
        <w:t xml:space="preserve">: </w:t>
      </w:r>
    </w:p>
    <w:p w:rsidR="0094271B" w:rsidRPr="00DA6787" w:rsidRDefault="0094271B" w:rsidP="0094271B">
      <w:pPr>
        <w:spacing w:after="0" w:line="240" w:lineRule="auto"/>
        <w:rPr>
          <w:sz w:val="24"/>
          <w:szCs w:val="24"/>
        </w:rPr>
      </w:pPr>
      <w:r w:rsidRPr="00DA6787">
        <w:rPr>
          <w:sz w:val="24"/>
          <w:szCs w:val="24"/>
        </w:rPr>
        <w:t xml:space="preserve"> </w:t>
      </w:r>
    </w:p>
    <w:p w:rsidR="001818FF" w:rsidRDefault="0094271B" w:rsidP="008376D9">
      <w:pPr>
        <w:spacing w:after="0" w:line="360" w:lineRule="auto"/>
        <w:ind w:left="567" w:right="567"/>
        <w:rPr>
          <w:rFonts w:cstheme="minorHAnsi"/>
          <w:sz w:val="24"/>
        </w:rPr>
      </w:pPr>
      <w:r w:rsidRPr="00DA6787">
        <w:rPr>
          <w:sz w:val="24"/>
          <w:szCs w:val="24"/>
        </w:rPr>
        <w:t>The current disability support system is underfunded, unfair, fragmented, and inefficient. It gives people with a disability little choice, no certainty of access to appropriate supports and little scope to participate in the community. People with disabilities, their carers, service providers, workers in the industry and governments all want change.</w:t>
      </w:r>
      <w:r w:rsidRPr="00DA6787">
        <w:rPr>
          <w:rStyle w:val="FootnoteReference"/>
          <w:sz w:val="24"/>
          <w:szCs w:val="24"/>
        </w:rPr>
        <w:footnoteReference w:id="13"/>
      </w:r>
    </w:p>
    <w:p w:rsidR="001818FF" w:rsidRPr="00DA6787" w:rsidRDefault="001818FF" w:rsidP="008376D9">
      <w:pPr>
        <w:spacing w:after="0" w:line="360" w:lineRule="auto"/>
        <w:ind w:left="567" w:right="567"/>
        <w:rPr>
          <w:sz w:val="24"/>
          <w:szCs w:val="24"/>
        </w:rPr>
      </w:pPr>
    </w:p>
    <w:p w:rsidR="004F72CB" w:rsidRDefault="00143086" w:rsidP="001818FF">
      <w:pPr>
        <w:spacing w:after="0" w:line="240" w:lineRule="auto"/>
        <w:rPr>
          <w:rFonts w:cstheme="minorHAnsi"/>
          <w:sz w:val="24"/>
        </w:rPr>
      </w:pPr>
      <w:r>
        <w:rPr>
          <w:rFonts w:cstheme="minorHAnsi"/>
          <w:sz w:val="24"/>
        </w:rPr>
        <w:t>Transition post-hospital is a known point at which a young person living with disability may enter aged care</w:t>
      </w:r>
      <w:r w:rsidR="00852436">
        <w:rPr>
          <w:rFonts w:cstheme="minorHAnsi"/>
          <w:sz w:val="24"/>
        </w:rPr>
        <w:t xml:space="preserve">. </w:t>
      </w:r>
      <w:r>
        <w:rPr>
          <w:rFonts w:cstheme="minorHAnsi"/>
          <w:sz w:val="24"/>
        </w:rPr>
        <w:t>Historically, the disability system has followed a common pathway to that of aged care, with discharge from hospital to a nursing home.</w:t>
      </w:r>
      <w:r w:rsidR="0094271B">
        <w:rPr>
          <w:rFonts w:cstheme="minorHAnsi"/>
          <w:sz w:val="24"/>
        </w:rPr>
        <w:t xml:space="preserve"> </w:t>
      </w:r>
      <w:r w:rsidR="004F72CB" w:rsidRPr="004F72CB">
        <w:rPr>
          <w:rFonts w:cstheme="minorHAnsi"/>
          <w:sz w:val="24"/>
        </w:rPr>
        <w:t>One young person, living with Multiple Sclerosis, who spent a period of time in a nursing home for rehabilitation shared the</w:t>
      </w:r>
      <w:r w:rsidR="004E6B4B">
        <w:rPr>
          <w:rFonts w:cstheme="minorHAnsi"/>
          <w:sz w:val="24"/>
        </w:rPr>
        <w:t>ir</w:t>
      </w:r>
      <w:r w:rsidR="004F72CB" w:rsidRPr="004F72CB">
        <w:rPr>
          <w:rFonts w:cstheme="minorHAnsi"/>
          <w:sz w:val="24"/>
        </w:rPr>
        <w:t xml:space="preserve"> experience:</w:t>
      </w:r>
    </w:p>
    <w:p w:rsidR="004F72CB" w:rsidRPr="004F72CB" w:rsidRDefault="004F72CB" w:rsidP="004F72CB">
      <w:pPr>
        <w:spacing w:after="0" w:line="360" w:lineRule="auto"/>
        <w:ind w:left="567" w:right="567"/>
        <w:rPr>
          <w:rFonts w:cstheme="minorHAnsi"/>
          <w:sz w:val="24"/>
        </w:rPr>
      </w:pPr>
    </w:p>
    <w:p w:rsidR="004F72CB" w:rsidRDefault="004F72CB" w:rsidP="004F72CB">
      <w:pPr>
        <w:spacing w:after="0" w:line="360" w:lineRule="auto"/>
        <w:ind w:left="567" w:right="567"/>
        <w:rPr>
          <w:rFonts w:cstheme="minorHAnsi"/>
          <w:sz w:val="24"/>
        </w:rPr>
      </w:pPr>
      <w:r w:rsidRPr="004F72CB">
        <w:rPr>
          <w:rFonts w:cstheme="minorHAnsi"/>
          <w:sz w:val="24"/>
        </w:rPr>
        <w:t xml:space="preserve">“I couldn’t relate to anyone, and my friends didn’t want to visit because I was in a home, and the people there were 40 or 50 years older. Many [young people with disability] enter a home expecting to be there for a couple of weeks, but end up being there for a couple of years. This isn’t appropriate for young people. I want all young people to have a choice in their support and accommodation options.”  </w:t>
      </w:r>
    </w:p>
    <w:p w:rsidR="009B3826" w:rsidRDefault="009B3826" w:rsidP="00143086">
      <w:pPr>
        <w:spacing w:after="0" w:line="360" w:lineRule="auto"/>
        <w:ind w:right="567"/>
        <w:rPr>
          <w:rFonts w:cstheme="minorHAnsi"/>
          <w:sz w:val="24"/>
        </w:rPr>
      </w:pPr>
    </w:p>
    <w:p w:rsidR="00603EBB" w:rsidRPr="008376D9" w:rsidRDefault="00143086" w:rsidP="008376D9">
      <w:pPr>
        <w:rPr>
          <w:sz w:val="24"/>
        </w:rPr>
      </w:pPr>
      <w:r w:rsidRPr="008376D9">
        <w:rPr>
          <w:sz w:val="24"/>
        </w:rPr>
        <w:t>From our experience</w:t>
      </w:r>
      <w:r w:rsidR="009B3826" w:rsidRPr="008376D9">
        <w:rPr>
          <w:sz w:val="24"/>
        </w:rPr>
        <w:t>,</w:t>
      </w:r>
      <w:r w:rsidRPr="008376D9">
        <w:rPr>
          <w:sz w:val="24"/>
        </w:rPr>
        <w:t xml:space="preserve"> the preferred pathway for people transitioning from hospital is to access community based rehabilitation within their own community, while adjusting to the home they will occupy post-rehabilitation (this may be their own home with modifications, or a new accommodation arrangement).</w:t>
      </w:r>
    </w:p>
    <w:p w:rsidR="00C91577" w:rsidRDefault="00C91577">
      <w:pPr>
        <w:rPr>
          <w:sz w:val="24"/>
        </w:rPr>
      </w:pPr>
      <w:r>
        <w:rPr>
          <w:sz w:val="24"/>
        </w:rPr>
        <w:br w:type="page"/>
      </w:r>
    </w:p>
    <w:p w:rsidR="00C454CD" w:rsidRPr="002E16E7" w:rsidRDefault="00C454CD" w:rsidP="008376D9">
      <w:r w:rsidRPr="008376D9">
        <w:rPr>
          <w:sz w:val="24"/>
        </w:rPr>
        <w:lastRenderedPageBreak/>
        <w:t>The following are comments from individuals who were at risk of moving into a residential aged care facility</w:t>
      </w:r>
      <w:r w:rsidRPr="002E16E7">
        <w:t xml:space="preserve">: </w:t>
      </w:r>
    </w:p>
    <w:p w:rsidR="00C454CD" w:rsidRPr="002E16E7" w:rsidRDefault="00C454CD" w:rsidP="00C454CD">
      <w:pPr>
        <w:spacing w:after="0" w:line="240" w:lineRule="auto"/>
        <w:rPr>
          <w:sz w:val="24"/>
        </w:rPr>
      </w:pPr>
    </w:p>
    <w:p w:rsidR="00C454CD" w:rsidRPr="002E16E7" w:rsidRDefault="00C454CD" w:rsidP="00836312">
      <w:pPr>
        <w:spacing w:after="0" w:line="360" w:lineRule="auto"/>
        <w:ind w:left="567" w:right="567"/>
        <w:rPr>
          <w:sz w:val="24"/>
        </w:rPr>
      </w:pPr>
      <w:r w:rsidRPr="002E16E7">
        <w:rPr>
          <w:sz w:val="24"/>
        </w:rPr>
        <w:t>“I was scared at first [but then got a home in the community].”</w:t>
      </w:r>
    </w:p>
    <w:p w:rsidR="00C454CD" w:rsidRPr="002E16E7" w:rsidRDefault="00C454CD" w:rsidP="00836312">
      <w:pPr>
        <w:spacing w:after="0" w:line="360" w:lineRule="auto"/>
        <w:ind w:left="567" w:right="567"/>
        <w:rPr>
          <w:sz w:val="24"/>
        </w:rPr>
      </w:pPr>
      <w:r w:rsidRPr="002E16E7">
        <w:rPr>
          <w:sz w:val="24"/>
        </w:rPr>
        <w:t>“[Current housing] is a good system. I would hate to be this age [40s] in a nursing home – scary – living with people twice your age.”</w:t>
      </w:r>
    </w:p>
    <w:p w:rsidR="00C454CD" w:rsidRPr="002E16E7" w:rsidRDefault="00C454CD" w:rsidP="008376D9">
      <w:pPr>
        <w:spacing w:after="0" w:line="360" w:lineRule="auto"/>
        <w:ind w:left="567" w:right="567"/>
        <w:rPr>
          <w:sz w:val="24"/>
        </w:rPr>
      </w:pPr>
      <w:r w:rsidRPr="002E16E7" w:rsidDel="000916A5">
        <w:rPr>
          <w:sz w:val="24"/>
        </w:rPr>
        <w:t xml:space="preserve"> </w:t>
      </w:r>
      <w:r w:rsidRPr="002E16E7">
        <w:rPr>
          <w:sz w:val="24"/>
        </w:rPr>
        <w:t>“I don’t want to get stuck in one of those [residential aged care facility]. It may have to come to that though.”[if the individual’s health declines]</w:t>
      </w:r>
      <w:r w:rsidR="00B611CC">
        <w:rPr>
          <w:sz w:val="24"/>
        </w:rPr>
        <w:t>.</w:t>
      </w:r>
      <w:r w:rsidRPr="002E16E7">
        <w:rPr>
          <w:rStyle w:val="FootnoteReference"/>
          <w:sz w:val="24"/>
        </w:rPr>
        <w:t xml:space="preserve"> </w:t>
      </w:r>
      <w:r w:rsidRPr="002E16E7">
        <w:rPr>
          <w:rStyle w:val="FootnoteReference"/>
          <w:sz w:val="24"/>
        </w:rPr>
        <w:footnoteReference w:id="14"/>
      </w:r>
    </w:p>
    <w:p w:rsidR="00725879" w:rsidRDefault="00725879">
      <w:pPr>
        <w:rPr>
          <w:rFonts w:cstheme="minorHAnsi"/>
          <w:b/>
          <w:color w:val="522E91"/>
          <w:sz w:val="28"/>
          <w:szCs w:val="28"/>
        </w:rPr>
      </w:pPr>
    </w:p>
    <w:p w:rsidR="008B50E9" w:rsidRDefault="001270AE" w:rsidP="00B611CC">
      <w:pPr>
        <w:pStyle w:val="Heading2"/>
      </w:pPr>
      <w:bookmarkStart w:id="15" w:name="_Toc412197789"/>
      <w:r w:rsidRPr="00B611CC">
        <w:t>TOR</w:t>
      </w:r>
      <w:r>
        <w:t xml:space="preserve"> </w:t>
      </w:r>
      <w:r w:rsidR="00AC1E36">
        <w:t xml:space="preserve">(f) </w:t>
      </w:r>
      <w:r w:rsidR="009F3ED3" w:rsidRPr="00AC1E36">
        <w:t>the</w:t>
      </w:r>
      <w:r w:rsidR="00AC1E36" w:rsidRPr="00AC1E36">
        <w:t xml:space="preserve"> options, consequences and considerations of the de-institutionalisation of young people with disabilit</w:t>
      </w:r>
      <w:r>
        <w:t>y</w:t>
      </w:r>
      <w:r w:rsidR="00AC1E36" w:rsidRPr="00AC1E36">
        <w:t>.</w:t>
      </w:r>
      <w:bookmarkEnd w:id="15"/>
    </w:p>
    <w:p w:rsidR="004E6B4B" w:rsidRDefault="004E6B4B" w:rsidP="004E6B4B"/>
    <w:p w:rsidR="00FC4357" w:rsidRPr="00FC4357" w:rsidRDefault="00A00040" w:rsidP="00FC4357">
      <w:pPr>
        <w:pStyle w:val="Heading3"/>
      </w:pPr>
      <w:bookmarkStart w:id="16" w:name="_Toc412197790"/>
      <w:r>
        <w:t>What type of system do we want?</w:t>
      </w:r>
      <w:bookmarkEnd w:id="16"/>
      <w:r w:rsidR="00FC4357">
        <w:br/>
      </w:r>
    </w:p>
    <w:p w:rsidR="00263F95" w:rsidRDefault="00263F95" w:rsidP="00263F95">
      <w:pPr>
        <w:rPr>
          <w:sz w:val="24"/>
          <w:szCs w:val="24"/>
        </w:rPr>
      </w:pPr>
      <w:r w:rsidRPr="00B72AD4">
        <w:rPr>
          <w:sz w:val="24"/>
          <w:szCs w:val="24"/>
        </w:rPr>
        <w:t>For many years, conventional disabilit</w:t>
      </w:r>
      <w:r>
        <w:rPr>
          <w:sz w:val="24"/>
          <w:szCs w:val="24"/>
        </w:rPr>
        <w:t>y support has tended to make a</w:t>
      </w:r>
      <w:r w:rsidRPr="00B72AD4">
        <w:rPr>
          <w:sz w:val="24"/>
          <w:szCs w:val="24"/>
        </w:rPr>
        <w:t xml:space="preserve"> person living with disability a passive recipient of care instead of an active value</w:t>
      </w:r>
      <w:r w:rsidR="00821948">
        <w:rPr>
          <w:sz w:val="24"/>
          <w:szCs w:val="24"/>
        </w:rPr>
        <w:t>d member of the wider community</w:t>
      </w:r>
      <w:r w:rsidRPr="00DA6787">
        <w:rPr>
          <w:rStyle w:val="FootnoteReference"/>
          <w:sz w:val="24"/>
          <w:szCs w:val="24"/>
        </w:rPr>
        <w:footnoteReference w:id="15"/>
      </w:r>
      <w:r>
        <w:rPr>
          <w:sz w:val="24"/>
          <w:szCs w:val="24"/>
        </w:rPr>
        <w:t xml:space="preserve"> </w:t>
      </w:r>
      <w:r w:rsidR="00821948">
        <w:rPr>
          <w:sz w:val="24"/>
          <w:szCs w:val="24"/>
        </w:rPr>
        <w:t>as</w:t>
      </w:r>
      <w:r>
        <w:rPr>
          <w:sz w:val="24"/>
          <w:szCs w:val="24"/>
        </w:rPr>
        <w:t xml:space="preserve"> “p</w:t>
      </w:r>
      <w:r w:rsidRPr="00A275B6">
        <w:rPr>
          <w:sz w:val="24"/>
          <w:szCs w:val="24"/>
        </w:rPr>
        <w:t>eople with disabilities and their families are disempowered and have little choice</w:t>
      </w:r>
      <w:r>
        <w:rPr>
          <w:sz w:val="24"/>
          <w:szCs w:val="24"/>
        </w:rPr>
        <w:t>.”</w:t>
      </w:r>
      <w:r>
        <w:rPr>
          <w:rStyle w:val="FootnoteReference"/>
          <w:sz w:val="24"/>
          <w:szCs w:val="24"/>
        </w:rPr>
        <w:footnoteReference w:id="16"/>
      </w:r>
    </w:p>
    <w:p w:rsidR="00A00020" w:rsidRPr="00DA6787" w:rsidRDefault="003A737D" w:rsidP="003A737D">
      <w:pPr>
        <w:rPr>
          <w:sz w:val="24"/>
          <w:szCs w:val="24"/>
        </w:rPr>
      </w:pPr>
      <w:r w:rsidRPr="00DA6787">
        <w:rPr>
          <w:sz w:val="24"/>
          <w:szCs w:val="24"/>
        </w:rPr>
        <w:t xml:space="preserve">For young people </w:t>
      </w:r>
      <w:r w:rsidR="00B8105F">
        <w:rPr>
          <w:sz w:val="24"/>
          <w:szCs w:val="24"/>
        </w:rPr>
        <w:t xml:space="preserve">living </w:t>
      </w:r>
      <w:r w:rsidR="00852436">
        <w:rPr>
          <w:sz w:val="24"/>
          <w:szCs w:val="24"/>
        </w:rPr>
        <w:t xml:space="preserve">with significant disability, </w:t>
      </w:r>
      <w:r w:rsidRPr="00DA6787">
        <w:rPr>
          <w:sz w:val="24"/>
          <w:szCs w:val="24"/>
        </w:rPr>
        <w:t xml:space="preserve">this </w:t>
      </w:r>
      <w:r w:rsidR="00372151">
        <w:rPr>
          <w:sz w:val="24"/>
          <w:szCs w:val="24"/>
        </w:rPr>
        <w:t>system</w:t>
      </w:r>
      <w:r w:rsidR="00372151" w:rsidRPr="00DA6787">
        <w:rPr>
          <w:sz w:val="24"/>
          <w:szCs w:val="24"/>
        </w:rPr>
        <w:t xml:space="preserve"> </w:t>
      </w:r>
      <w:r w:rsidR="00372151" w:rsidRPr="00A00040">
        <w:rPr>
          <w:b/>
          <w:sz w:val="24"/>
          <w:szCs w:val="24"/>
        </w:rPr>
        <w:t>must</w:t>
      </w:r>
      <w:r w:rsidRPr="00DA6787">
        <w:rPr>
          <w:sz w:val="24"/>
          <w:szCs w:val="24"/>
        </w:rPr>
        <w:t xml:space="preserve"> change.</w:t>
      </w:r>
      <w:r w:rsidR="003023A4" w:rsidRPr="00DA6787">
        <w:rPr>
          <w:sz w:val="24"/>
          <w:szCs w:val="24"/>
        </w:rPr>
        <w:t xml:space="preserve"> Having authorship (choice and control) over our own lives is something most people take for granted. For people living with disability this is a right that often has to be fought for. </w:t>
      </w:r>
    </w:p>
    <w:p w:rsidR="00603EBB" w:rsidRPr="00726B8E" w:rsidRDefault="00603EBB" w:rsidP="008376D9">
      <w:pPr>
        <w:spacing w:after="0" w:line="240" w:lineRule="auto"/>
        <w:rPr>
          <w:rFonts w:cstheme="minorHAnsi"/>
          <w:sz w:val="24"/>
          <w:szCs w:val="24"/>
        </w:rPr>
      </w:pPr>
      <w:r w:rsidRPr="00726B8E">
        <w:rPr>
          <w:rFonts w:cstheme="minorHAnsi"/>
          <w:sz w:val="24"/>
          <w:szCs w:val="24"/>
        </w:rPr>
        <w:t>Few things are more fundamental than having somewhere to live. Having little or no</w:t>
      </w:r>
    </w:p>
    <w:p w:rsidR="00603EBB" w:rsidRPr="00A275B6" w:rsidRDefault="00603EBB" w:rsidP="008376D9">
      <w:pPr>
        <w:spacing w:after="0" w:line="240" w:lineRule="auto"/>
        <w:rPr>
          <w:rFonts w:cstheme="minorHAnsi"/>
          <w:sz w:val="24"/>
          <w:szCs w:val="24"/>
        </w:rPr>
      </w:pPr>
      <w:r w:rsidRPr="00A275B6">
        <w:rPr>
          <w:rFonts w:cstheme="minorHAnsi"/>
          <w:sz w:val="24"/>
          <w:szCs w:val="24"/>
        </w:rPr>
        <w:t>choice in where one lives has a profound impact on physical and mental health, and</w:t>
      </w:r>
    </w:p>
    <w:p w:rsidR="00DA6787" w:rsidRDefault="00603EBB" w:rsidP="008376D9">
      <w:pPr>
        <w:spacing w:after="0" w:line="240" w:lineRule="auto"/>
        <w:rPr>
          <w:rFonts w:cstheme="minorHAnsi"/>
          <w:sz w:val="24"/>
          <w:szCs w:val="24"/>
        </w:rPr>
      </w:pPr>
      <w:r w:rsidRPr="00A275B6">
        <w:rPr>
          <w:rFonts w:cstheme="minorHAnsi"/>
          <w:sz w:val="24"/>
          <w:szCs w:val="24"/>
        </w:rPr>
        <w:t>the ability to participate in employment and community activities. Yet this is precisely the experience of many people</w:t>
      </w:r>
      <w:r w:rsidR="00B8105F">
        <w:rPr>
          <w:rFonts w:cstheme="minorHAnsi"/>
          <w:sz w:val="24"/>
          <w:szCs w:val="24"/>
        </w:rPr>
        <w:t xml:space="preserve"> living</w:t>
      </w:r>
      <w:r w:rsidRPr="00A275B6">
        <w:rPr>
          <w:rFonts w:cstheme="minorHAnsi"/>
          <w:sz w:val="24"/>
          <w:szCs w:val="24"/>
        </w:rPr>
        <w:t xml:space="preserve"> with disabilit</w:t>
      </w:r>
      <w:r w:rsidR="00B8105F">
        <w:rPr>
          <w:rFonts w:cstheme="minorHAnsi"/>
          <w:sz w:val="24"/>
          <w:szCs w:val="24"/>
        </w:rPr>
        <w:t>y</w:t>
      </w:r>
      <w:r w:rsidRPr="00A275B6">
        <w:rPr>
          <w:rFonts w:cstheme="minorHAnsi"/>
          <w:sz w:val="24"/>
          <w:szCs w:val="24"/>
        </w:rPr>
        <w:t>.</w:t>
      </w:r>
      <w:r w:rsidRPr="00726B8E">
        <w:rPr>
          <w:rStyle w:val="FootnoteReference"/>
          <w:rFonts w:cstheme="minorHAnsi"/>
          <w:sz w:val="24"/>
          <w:szCs w:val="24"/>
        </w:rPr>
        <w:footnoteReference w:id="17"/>
      </w:r>
    </w:p>
    <w:p w:rsidR="00DA6787" w:rsidRPr="00A275B6" w:rsidRDefault="00DA6787" w:rsidP="008376D9">
      <w:pPr>
        <w:spacing w:after="0" w:line="240" w:lineRule="auto"/>
        <w:rPr>
          <w:rFonts w:cstheme="minorHAnsi"/>
          <w:sz w:val="24"/>
          <w:szCs w:val="24"/>
        </w:rPr>
      </w:pPr>
    </w:p>
    <w:p w:rsidR="00C91577" w:rsidRDefault="00C91577">
      <w:pPr>
        <w:rPr>
          <w:rFonts w:cstheme="minorHAnsi"/>
          <w:sz w:val="24"/>
          <w:szCs w:val="24"/>
        </w:rPr>
      </w:pPr>
      <w:r>
        <w:rPr>
          <w:rFonts w:cstheme="minorHAnsi"/>
          <w:sz w:val="24"/>
          <w:szCs w:val="24"/>
        </w:rPr>
        <w:br w:type="page"/>
      </w:r>
    </w:p>
    <w:p w:rsidR="00603EBB" w:rsidRPr="00A275B6" w:rsidRDefault="00603EBB" w:rsidP="008376D9">
      <w:pPr>
        <w:spacing w:after="0" w:line="240" w:lineRule="auto"/>
        <w:rPr>
          <w:rFonts w:cstheme="minorHAnsi"/>
          <w:sz w:val="24"/>
          <w:szCs w:val="24"/>
        </w:rPr>
      </w:pPr>
      <w:r w:rsidRPr="00A275B6">
        <w:rPr>
          <w:rFonts w:cstheme="minorHAnsi"/>
          <w:sz w:val="24"/>
          <w:szCs w:val="24"/>
        </w:rPr>
        <w:lastRenderedPageBreak/>
        <w:t>Few Australians without disability can imagine what it would be like to have no say</w:t>
      </w:r>
    </w:p>
    <w:p w:rsidR="00603EBB" w:rsidRPr="00726B8E" w:rsidRDefault="00603EBB" w:rsidP="008376D9">
      <w:pPr>
        <w:spacing w:after="0" w:line="240" w:lineRule="auto"/>
        <w:rPr>
          <w:rFonts w:cstheme="minorHAnsi"/>
          <w:sz w:val="24"/>
          <w:szCs w:val="24"/>
        </w:rPr>
      </w:pPr>
      <w:r w:rsidRPr="00A275B6">
        <w:rPr>
          <w:rFonts w:cstheme="minorHAnsi"/>
          <w:sz w:val="24"/>
          <w:szCs w:val="24"/>
        </w:rPr>
        <w:t xml:space="preserve">in where they live or who they live with. The freedom to choose where and with whom one lives is a fundamental freedom, but it is one few people </w:t>
      </w:r>
      <w:r w:rsidR="00B8105F">
        <w:rPr>
          <w:rFonts w:cstheme="minorHAnsi"/>
          <w:sz w:val="24"/>
          <w:szCs w:val="24"/>
        </w:rPr>
        <w:t xml:space="preserve">living </w:t>
      </w:r>
      <w:r w:rsidRPr="00A275B6">
        <w:rPr>
          <w:rFonts w:cstheme="minorHAnsi"/>
          <w:sz w:val="24"/>
          <w:szCs w:val="24"/>
        </w:rPr>
        <w:t xml:space="preserve">with </w:t>
      </w:r>
      <w:r w:rsidR="00B8105F" w:rsidRPr="00A275B6">
        <w:rPr>
          <w:rFonts w:cstheme="minorHAnsi"/>
          <w:sz w:val="24"/>
          <w:szCs w:val="24"/>
        </w:rPr>
        <w:t>disability</w:t>
      </w:r>
      <w:r w:rsidR="00B8105F">
        <w:rPr>
          <w:rFonts w:cstheme="minorHAnsi"/>
          <w:sz w:val="24"/>
          <w:szCs w:val="24"/>
        </w:rPr>
        <w:t xml:space="preserve"> </w:t>
      </w:r>
      <w:r w:rsidRPr="00A275B6">
        <w:rPr>
          <w:rFonts w:cstheme="minorHAnsi"/>
          <w:sz w:val="24"/>
          <w:szCs w:val="24"/>
        </w:rPr>
        <w:t>are able</w:t>
      </w:r>
      <w:r w:rsidRPr="004F72CB">
        <w:rPr>
          <w:rFonts w:cstheme="minorHAnsi"/>
          <w:sz w:val="24"/>
          <w:szCs w:val="24"/>
        </w:rPr>
        <w:t xml:space="preserve"> to exercise.</w:t>
      </w:r>
      <w:r w:rsidRPr="00726B8E">
        <w:rPr>
          <w:rStyle w:val="FootnoteReference"/>
          <w:rFonts w:cstheme="minorHAnsi"/>
          <w:sz w:val="24"/>
          <w:szCs w:val="24"/>
        </w:rPr>
        <w:footnoteReference w:id="18"/>
      </w:r>
    </w:p>
    <w:p w:rsidR="00603EBB" w:rsidRDefault="00603EBB" w:rsidP="00603EBB">
      <w:pPr>
        <w:spacing w:after="0" w:line="240" w:lineRule="auto"/>
        <w:rPr>
          <w:rFonts w:cstheme="minorHAnsi"/>
          <w:sz w:val="24"/>
          <w:szCs w:val="24"/>
        </w:rPr>
      </w:pPr>
    </w:p>
    <w:p w:rsidR="00A00040" w:rsidRDefault="00A00040" w:rsidP="00852436">
      <w:pPr>
        <w:pStyle w:val="Heading3"/>
      </w:pPr>
      <w:bookmarkStart w:id="17" w:name="_Toc412197791"/>
      <w:r>
        <w:t>Principles and values</w:t>
      </w:r>
      <w:bookmarkEnd w:id="17"/>
      <w:r>
        <w:t xml:space="preserve"> </w:t>
      </w:r>
      <w:r w:rsidR="00FC4357">
        <w:br/>
      </w:r>
    </w:p>
    <w:p w:rsidR="00A00040" w:rsidRPr="002F3A0E" w:rsidRDefault="00A00040" w:rsidP="008376D9">
      <w:pPr>
        <w:spacing w:after="0" w:line="240" w:lineRule="auto"/>
        <w:rPr>
          <w:sz w:val="24"/>
          <w:szCs w:val="24"/>
        </w:rPr>
      </w:pPr>
      <w:r w:rsidRPr="002F3A0E">
        <w:rPr>
          <w:sz w:val="24"/>
          <w:szCs w:val="24"/>
        </w:rPr>
        <w:t>In developing a more appropriate range of accommodation options for people living with significant disability, there are a number of principles and values to consider:</w:t>
      </w:r>
    </w:p>
    <w:p w:rsidR="00B8105F" w:rsidRDefault="00B8105F" w:rsidP="008376D9">
      <w:pPr>
        <w:spacing w:after="0" w:line="240" w:lineRule="auto"/>
      </w:pPr>
    </w:p>
    <w:p w:rsidR="00A00040" w:rsidRDefault="0073329C" w:rsidP="008376D9">
      <w:pPr>
        <w:pStyle w:val="ListParagraph"/>
        <w:numPr>
          <w:ilvl w:val="0"/>
          <w:numId w:val="46"/>
        </w:numPr>
        <w:spacing w:after="0" w:line="240" w:lineRule="auto"/>
      </w:pPr>
      <w:r w:rsidRPr="00B8105F">
        <w:rPr>
          <w:b/>
        </w:rPr>
        <w:t>Supporting p</w:t>
      </w:r>
      <w:r w:rsidR="00A00040" w:rsidRPr="00B8105F">
        <w:rPr>
          <w:b/>
        </w:rPr>
        <w:t>ower</w:t>
      </w:r>
      <w:r w:rsidRPr="00B8105F">
        <w:rPr>
          <w:b/>
        </w:rPr>
        <w:t>,</w:t>
      </w:r>
      <w:r w:rsidR="00A00040" w:rsidRPr="00B8105F">
        <w:rPr>
          <w:b/>
        </w:rPr>
        <w:t xml:space="preserve"> choice and control</w:t>
      </w:r>
      <w:r w:rsidR="00FD326E">
        <w:t>:</w:t>
      </w:r>
      <w:r w:rsidR="00F606A7">
        <w:t xml:space="preserve"> </w:t>
      </w:r>
      <w:r w:rsidR="00FE33A1">
        <w:t xml:space="preserve">these </w:t>
      </w:r>
      <w:r w:rsidR="00FE33A1" w:rsidRPr="00A00040">
        <w:t>are</w:t>
      </w:r>
      <w:r w:rsidR="006E7D08" w:rsidRPr="00A00040">
        <w:t xml:space="preserve"> the essential expressions of Personhood.</w:t>
      </w:r>
      <w:r w:rsidR="006E7D08">
        <w:t xml:space="preserve"> </w:t>
      </w:r>
      <w:r>
        <w:t>Individuals</w:t>
      </w:r>
      <w:r w:rsidR="006E7D08">
        <w:t xml:space="preserve"> draw on </w:t>
      </w:r>
      <w:r>
        <w:t>their own</w:t>
      </w:r>
      <w:r w:rsidR="006E7D08">
        <w:t xml:space="preserve"> P</w:t>
      </w:r>
      <w:r w:rsidR="006E7D08" w:rsidRPr="00A00040">
        <w:t>ersonal Capital</w:t>
      </w:r>
      <w:r w:rsidR="006E7D08">
        <w:t xml:space="preserve"> (personal assets) such as</w:t>
      </w:r>
      <w:r w:rsidR="006E7D08" w:rsidRPr="00A00040">
        <w:t xml:space="preserve"> </w:t>
      </w:r>
      <w:r w:rsidR="00A00040" w:rsidRPr="00A00040">
        <w:t>potential, strengths, self-worth, v</w:t>
      </w:r>
      <w:r w:rsidR="006E7D08">
        <w:t xml:space="preserve">ision, control and confidence </w:t>
      </w:r>
      <w:r w:rsidR="00A00040" w:rsidRPr="00A00040">
        <w:t>to ad</w:t>
      </w:r>
      <w:r w:rsidR="006E7D08">
        <w:t xml:space="preserve">vance or uphold a good life. These values are </w:t>
      </w:r>
      <w:r w:rsidR="00A00040" w:rsidRPr="00A00040">
        <w:t>critical</w:t>
      </w:r>
      <w:r>
        <w:t xml:space="preserve"> when the person is making</w:t>
      </w:r>
      <w:r w:rsidR="00A00040" w:rsidRPr="00A00040">
        <w:t xml:space="preserve"> decisions, choices o</w:t>
      </w:r>
      <w:r w:rsidR="00F606A7">
        <w:t>r taking actions.</w:t>
      </w:r>
      <w:r w:rsidR="00622A7A">
        <w:t xml:space="preserve"> Supported-decision-making is an important process for some </w:t>
      </w:r>
      <w:r w:rsidR="00D53E43">
        <w:t>individuals to</w:t>
      </w:r>
      <w:r w:rsidR="00622A7A">
        <w:t xml:space="preserve"> express their Personhood. </w:t>
      </w:r>
      <w:r w:rsidR="002F3A0E">
        <w:rPr>
          <w:rStyle w:val="FootnoteReference"/>
        </w:rPr>
        <w:footnoteReference w:id="19"/>
      </w:r>
    </w:p>
    <w:p w:rsidR="00B8105F" w:rsidRDefault="00B8105F" w:rsidP="008376D9">
      <w:pPr>
        <w:pStyle w:val="ListParagraph"/>
        <w:spacing w:after="0" w:line="240" w:lineRule="auto"/>
      </w:pPr>
    </w:p>
    <w:p w:rsidR="00B8105F" w:rsidRDefault="000C773D" w:rsidP="008376D9">
      <w:pPr>
        <w:pStyle w:val="ListParagraph"/>
        <w:numPr>
          <w:ilvl w:val="0"/>
          <w:numId w:val="46"/>
        </w:numPr>
        <w:spacing w:after="0" w:line="240" w:lineRule="auto"/>
      </w:pPr>
      <w:r w:rsidRPr="00B8105F">
        <w:rPr>
          <w:b/>
        </w:rPr>
        <w:t>Facilitat</w:t>
      </w:r>
      <w:r w:rsidR="0073329C" w:rsidRPr="00B8105F">
        <w:rPr>
          <w:b/>
        </w:rPr>
        <w:t>ing</w:t>
      </w:r>
      <w:r w:rsidR="00F606A7" w:rsidRPr="00B8105F">
        <w:rPr>
          <w:b/>
        </w:rPr>
        <w:t xml:space="preserve"> younger people to live with or </w:t>
      </w:r>
      <w:r w:rsidR="00A00040" w:rsidRPr="00B8105F">
        <w:rPr>
          <w:b/>
        </w:rPr>
        <w:t>return to their community/family</w:t>
      </w:r>
      <w:r w:rsidR="00FD326E">
        <w:t>:</w:t>
      </w:r>
      <w:r w:rsidR="0073329C">
        <w:t xml:space="preserve"> Y</w:t>
      </w:r>
      <w:r w:rsidR="00F606A7" w:rsidRPr="00F606A7">
        <w:t xml:space="preserve">oung people </w:t>
      </w:r>
      <w:r w:rsidR="00B8105F">
        <w:t xml:space="preserve">living </w:t>
      </w:r>
      <w:r w:rsidR="00F606A7" w:rsidRPr="00F606A7">
        <w:t>with disabilit</w:t>
      </w:r>
      <w:r w:rsidR="00B8105F">
        <w:t>y</w:t>
      </w:r>
      <w:r w:rsidR="00F606A7" w:rsidRPr="00F606A7">
        <w:t xml:space="preserve"> </w:t>
      </w:r>
      <w:r w:rsidR="0073329C">
        <w:t xml:space="preserve">have the same dreams and aspirations </w:t>
      </w:r>
      <w:r w:rsidR="00F606A7" w:rsidRPr="00F606A7">
        <w:t xml:space="preserve">as </w:t>
      </w:r>
      <w:r w:rsidR="00F606A7" w:rsidRPr="000C773D">
        <w:t>others their age</w:t>
      </w:r>
      <w:r w:rsidR="0073329C">
        <w:t>, and should have the same options available to them</w:t>
      </w:r>
      <w:r w:rsidR="00F606A7" w:rsidRPr="000C773D">
        <w:t>. Typically a young person would have the choice of living with family, sharing with one or more friends</w:t>
      </w:r>
      <w:r w:rsidR="00B8105F">
        <w:t>, a partner</w:t>
      </w:r>
      <w:r w:rsidR="00F606A7" w:rsidRPr="000C773D">
        <w:t xml:space="preserve"> or flatmates or living alone. </w:t>
      </w:r>
      <w:r w:rsidR="00713626">
        <w:t xml:space="preserve">There are </w:t>
      </w:r>
      <w:r w:rsidR="00FF23AF">
        <w:t>already young people living with significant disability in their community and we need to draw on their experiences and expertise.</w:t>
      </w:r>
    </w:p>
    <w:p w:rsidR="00B8105F" w:rsidRPr="000C773D" w:rsidRDefault="00B8105F" w:rsidP="008376D9">
      <w:pPr>
        <w:spacing w:after="0" w:line="240" w:lineRule="auto"/>
      </w:pPr>
    </w:p>
    <w:p w:rsidR="00F606A7" w:rsidRDefault="0073329C" w:rsidP="008376D9">
      <w:pPr>
        <w:pStyle w:val="ListParagraph"/>
        <w:numPr>
          <w:ilvl w:val="0"/>
          <w:numId w:val="46"/>
        </w:numPr>
        <w:spacing w:after="0" w:line="240" w:lineRule="auto"/>
      </w:pPr>
      <w:r w:rsidRPr="00B8105F">
        <w:rPr>
          <w:b/>
        </w:rPr>
        <w:t>Providing e</w:t>
      </w:r>
      <w:r w:rsidR="00A00040" w:rsidRPr="00B8105F">
        <w:rPr>
          <w:b/>
        </w:rPr>
        <w:t>arly investment to allow individuals and their families to plan</w:t>
      </w:r>
      <w:r w:rsidR="00FD326E">
        <w:rPr>
          <w:b/>
        </w:rPr>
        <w:t>:</w:t>
      </w:r>
      <w:r>
        <w:t xml:space="preserve"> M</w:t>
      </w:r>
      <w:r w:rsidR="00F606A7">
        <w:t>any younger people living with disability and their famil</w:t>
      </w:r>
      <w:r w:rsidR="00722D4F">
        <w:t>ies</w:t>
      </w:r>
      <w:r w:rsidR="00F606A7">
        <w:t xml:space="preserve"> are not aware of </w:t>
      </w:r>
      <w:r>
        <w:t xml:space="preserve">housing </w:t>
      </w:r>
      <w:r w:rsidR="00F606A7">
        <w:t>options available to them. Providing information early about funding and housing options will develop an individual’s capacity to make informed decisions. For example, conversation</w:t>
      </w:r>
      <w:r w:rsidR="000C773D">
        <w:t>s</w:t>
      </w:r>
      <w:r w:rsidR="00F606A7">
        <w:t xml:space="preserve"> with young people </w:t>
      </w:r>
      <w:r w:rsidR="00722D4F">
        <w:t xml:space="preserve">living </w:t>
      </w:r>
      <w:r w:rsidR="00F606A7">
        <w:t>with disability living in community housing indicated that, although there is a structure and process in place,</w:t>
      </w:r>
      <w:r>
        <w:t xml:space="preserve"> </w:t>
      </w:r>
      <w:r w:rsidR="00F606A7">
        <w:t>individuals</w:t>
      </w:r>
      <w:r w:rsidR="00F606A7" w:rsidRPr="00F606A7">
        <w:t xml:space="preserve"> generally viewed their placement in community housing as a result of luck, being in the right place at the right time, or having the right people backing them up. In effect people have little choice, and accept what is offered to them regardless of accommodation type or suburb, due to the shortage of </w:t>
      </w:r>
      <w:r w:rsidR="00713626">
        <w:t>appropriate</w:t>
      </w:r>
      <w:r w:rsidR="00713626" w:rsidRPr="00F606A7">
        <w:t xml:space="preserve"> </w:t>
      </w:r>
      <w:r w:rsidR="00F606A7" w:rsidRPr="00F606A7">
        <w:t>housing</w:t>
      </w:r>
      <w:r w:rsidR="00713626">
        <w:t xml:space="preserve"> and flexibility of personal support funding</w:t>
      </w:r>
      <w:r>
        <w:t>.</w:t>
      </w:r>
    </w:p>
    <w:p w:rsidR="00B8105F" w:rsidRPr="00F606A7" w:rsidRDefault="00B8105F" w:rsidP="008376D9">
      <w:pPr>
        <w:spacing w:after="0" w:line="240" w:lineRule="auto"/>
      </w:pPr>
    </w:p>
    <w:p w:rsidR="000C773D" w:rsidRDefault="0073329C" w:rsidP="008376D9">
      <w:pPr>
        <w:pStyle w:val="ListParagraph"/>
        <w:numPr>
          <w:ilvl w:val="0"/>
          <w:numId w:val="46"/>
        </w:numPr>
        <w:spacing w:after="0" w:line="240" w:lineRule="auto"/>
      </w:pPr>
      <w:r w:rsidRPr="00B8105F">
        <w:rPr>
          <w:b/>
        </w:rPr>
        <w:lastRenderedPageBreak/>
        <w:t xml:space="preserve">Develop an environment </w:t>
      </w:r>
      <w:r w:rsidR="00A00040" w:rsidRPr="00B8105F">
        <w:rPr>
          <w:b/>
        </w:rPr>
        <w:t xml:space="preserve">which enables, </w:t>
      </w:r>
      <w:r w:rsidRPr="00B8105F">
        <w:rPr>
          <w:b/>
        </w:rPr>
        <w:t xml:space="preserve">and is </w:t>
      </w:r>
      <w:r w:rsidR="00A00040" w:rsidRPr="00B8105F">
        <w:rPr>
          <w:b/>
        </w:rPr>
        <w:t xml:space="preserve">responsive and flexible to </w:t>
      </w:r>
      <w:r w:rsidR="00D53E43" w:rsidRPr="00B8105F">
        <w:rPr>
          <w:b/>
        </w:rPr>
        <w:t>individuals’</w:t>
      </w:r>
      <w:r w:rsidR="00A00040" w:rsidRPr="00B8105F">
        <w:rPr>
          <w:b/>
        </w:rPr>
        <w:t xml:space="preserve"> </w:t>
      </w:r>
      <w:r w:rsidR="00A00040" w:rsidRPr="00FD326E">
        <w:rPr>
          <w:b/>
        </w:rPr>
        <w:t>situations</w:t>
      </w:r>
      <w:r w:rsidR="00A00040" w:rsidRPr="008376D9">
        <w:rPr>
          <w:b/>
        </w:rPr>
        <w:t xml:space="preserve"> rather than</w:t>
      </w:r>
      <w:r w:rsidR="00852436" w:rsidRPr="008376D9">
        <w:rPr>
          <w:b/>
        </w:rPr>
        <w:t xml:space="preserve"> one that is </w:t>
      </w:r>
      <w:r w:rsidR="00A00040" w:rsidRPr="008376D9">
        <w:rPr>
          <w:b/>
        </w:rPr>
        <w:t>fi</w:t>
      </w:r>
      <w:r w:rsidRPr="008376D9">
        <w:rPr>
          <w:b/>
        </w:rPr>
        <w:t>xed, predetermined and imposed</w:t>
      </w:r>
      <w:r w:rsidR="00FD326E" w:rsidRPr="008376D9">
        <w:rPr>
          <w:b/>
        </w:rPr>
        <w:t>:</w:t>
      </w:r>
      <w:r>
        <w:t xml:space="preserve"> </w:t>
      </w:r>
      <w:r w:rsidR="006C5C3F">
        <w:t xml:space="preserve">Individuals should not have to </w:t>
      </w:r>
      <w:r w:rsidR="00FD326E">
        <w:t>“</w:t>
      </w:r>
      <w:r w:rsidR="006C5C3F">
        <w:t>fit the system</w:t>
      </w:r>
      <w:r w:rsidR="00EF2951">
        <w:t>”</w:t>
      </w:r>
      <w:r w:rsidR="006C5C3F">
        <w:t xml:space="preserve">. The system must be flexible enough to </w:t>
      </w:r>
      <w:r w:rsidR="00852436">
        <w:t>‘</w:t>
      </w:r>
      <w:r w:rsidR="006C5C3F">
        <w:t>fit</w:t>
      </w:r>
      <w:r w:rsidR="00852436">
        <w:t>’</w:t>
      </w:r>
      <w:r w:rsidR="006C5C3F">
        <w:t xml:space="preserve"> them. This </w:t>
      </w:r>
      <w:r w:rsidR="00852436">
        <w:t>mandates</w:t>
      </w:r>
      <w:r w:rsidR="006C5C3F">
        <w:t xml:space="preserve"> a person</w:t>
      </w:r>
      <w:r w:rsidR="00852436">
        <w:t>-</w:t>
      </w:r>
      <w:r w:rsidR="006C5C3F">
        <w:t>by</w:t>
      </w:r>
      <w:r w:rsidR="00852436">
        <w:t>-</w:t>
      </w:r>
      <w:r w:rsidR="006C5C3F">
        <w:t>person approach, so that each individual determines what a good life looks like to them.</w:t>
      </w:r>
    </w:p>
    <w:p w:rsidR="00722D4F" w:rsidRDefault="00722D4F" w:rsidP="008376D9">
      <w:pPr>
        <w:spacing w:after="0" w:line="240" w:lineRule="auto"/>
      </w:pPr>
    </w:p>
    <w:p w:rsidR="0073329C" w:rsidRDefault="00A00040" w:rsidP="008376D9">
      <w:pPr>
        <w:pStyle w:val="ListParagraph"/>
        <w:numPr>
          <w:ilvl w:val="0"/>
          <w:numId w:val="46"/>
        </w:numPr>
        <w:spacing w:after="0" w:line="240" w:lineRule="auto"/>
      </w:pPr>
      <w:r w:rsidRPr="00B8105F">
        <w:rPr>
          <w:b/>
        </w:rPr>
        <w:t>Funding fl</w:t>
      </w:r>
      <w:r w:rsidR="00852436" w:rsidRPr="00B8105F">
        <w:rPr>
          <w:b/>
        </w:rPr>
        <w:t>exibility and individualised s</w:t>
      </w:r>
      <w:r w:rsidRPr="00B8105F">
        <w:rPr>
          <w:b/>
        </w:rPr>
        <w:t>elf-directed support</w:t>
      </w:r>
      <w:r w:rsidR="00FD326E">
        <w:t>:</w:t>
      </w:r>
      <w:r w:rsidR="0073329C">
        <w:t xml:space="preserve"> </w:t>
      </w:r>
      <w:r>
        <w:t xml:space="preserve"> </w:t>
      </w:r>
      <w:r w:rsidR="0073329C">
        <w:t xml:space="preserve">It is essential that there is a move from block funding which </w:t>
      </w:r>
      <w:r w:rsidR="00FD326E">
        <w:t>“</w:t>
      </w:r>
      <w:r w:rsidR="0073329C">
        <w:t>locks</w:t>
      </w:r>
      <w:r w:rsidR="00FD326E">
        <w:t>”</w:t>
      </w:r>
      <w:r w:rsidR="0073329C">
        <w:t xml:space="preserve"> in the funding with a particular provider, and perpetuates a power imbalance between the provider and the individual</w:t>
      </w:r>
      <w:r w:rsidR="00852436">
        <w:t>, to a system of genuinely flexible and individualised funding</w:t>
      </w:r>
      <w:r w:rsidR="0073329C">
        <w:t>.</w:t>
      </w:r>
    </w:p>
    <w:p w:rsidR="00722D4F" w:rsidRDefault="00722D4F" w:rsidP="008376D9">
      <w:pPr>
        <w:spacing w:after="0" w:line="240" w:lineRule="auto"/>
      </w:pPr>
    </w:p>
    <w:p w:rsidR="00DF2983" w:rsidRDefault="00A00040" w:rsidP="008376D9">
      <w:pPr>
        <w:pStyle w:val="ListParagraph"/>
        <w:numPr>
          <w:ilvl w:val="0"/>
          <w:numId w:val="46"/>
        </w:numPr>
        <w:spacing w:after="0" w:line="240" w:lineRule="auto"/>
      </w:pPr>
      <w:r w:rsidRPr="00B8105F">
        <w:rPr>
          <w:b/>
        </w:rPr>
        <w:t>Availability of funding, support and assistance</w:t>
      </w:r>
      <w:r w:rsidR="00FD326E">
        <w:rPr>
          <w:b/>
        </w:rPr>
        <w:t>:</w:t>
      </w:r>
      <w:r w:rsidR="006C5C3F">
        <w:t xml:space="preserve"> People may need </w:t>
      </w:r>
      <w:r w:rsidR="00BD1EF5">
        <w:t>support and assistance to develop the</w:t>
      </w:r>
      <w:r w:rsidR="00321582">
        <w:t xml:space="preserve"> awareness and</w:t>
      </w:r>
      <w:r w:rsidR="006C5C3F">
        <w:t xml:space="preserve"> capacity to be self-directing</w:t>
      </w:r>
      <w:r w:rsidR="00BD1EF5">
        <w:t xml:space="preserve"> and self-manage their funding and no longer be constrained by service-provider’s systems</w:t>
      </w:r>
      <w:r w:rsidR="00FC4357">
        <w:t xml:space="preserve">. </w:t>
      </w:r>
    </w:p>
    <w:p w:rsidR="002F3A0E" w:rsidRDefault="002F3A0E" w:rsidP="002F3A0E">
      <w:pPr>
        <w:pStyle w:val="ListParagraph"/>
      </w:pPr>
    </w:p>
    <w:p w:rsidR="002F3A0E" w:rsidRPr="00FC4357" w:rsidRDefault="002F3A0E" w:rsidP="002F3A0E">
      <w:pPr>
        <w:pStyle w:val="ListParagraph"/>
        <w:spacing w:after="0" w:line="240" w:lineRule="auto"/>
      </w:pPr>
    </w:p>
    <w:p w:rsidR="006906D4" w:rsidRDefault="00A57037" w:rsidP="008376D9">
      <w:pPr>
        <w:pStyle w:val="Heading3"/>
      </w:pPr>
      <w:bookmarkStart w:id="18" w:name="_Toc412197792"/>
      <w:r>
        <w:t xml:space="preserve">Framework to </w:t>
      </w:r>
      <w:r w:rsidR="000C773D">
        <w:t>navigate the system</w:t>
      </w:r>
      <w:bookmarkEnd w:id="18"/>
    </w:p>
    <w:p w:rsidR="00FC4357" w:rsidRDefault="00FC4357" w:rsidP="008376D9">
      <w:pPr>
        <w:pStyle w:val="Heading4"/>
      </w:pPr>
    </w:p>
    <w:p w:rsidR="006906D4" w:rsidRPr="006906D4" w:rsidRDefault="006906D4" w:rsidP="008376D9">
      <w:pPr>
        <w:pStyle w:val="Heading4"/>
      </w:pPr>
      <w:r w:rsidRPr="006906D4">
        <w:t>The Model of Citizenhood Support</w:t>
      </w:r>
    </w:p>
    <w:p w:rsidR="00A11A2B" w:rsidRDefault="00A00040" w:rsidP="008376D9">
      <w:pPr>
        <w:spacing w:after="0" w:line="240" w:lineRule="auto"/>
        <w:rPr>
          <w:sz w:val="24"/>
          <w:szCs w:val="24"/>
        </w:rPr>
      </w:pPr>
      <w:r>
        <w:rPr>
          <w:sz w:val="24"/>
          <w:szCs w:val="24"/>
        </w:rPr>
        <w:t>T</w:t>
      </w:r>
      <w:r w:rsidR="00DA463A" w:rsidRPr="00DA463A">
        <w:rPr>
          <w:sz w:val="24"/>
          <w:szCs w:val="24"/>
        </w:rPr>
        <w:t>he work of JFA Purple Orange is anchored on the principles of Personhood and Citizenhood</w:t>
      </w:r>
      <w:r w:rsidR="00DA463A">
        <w:rPr>
          <w:sz w:val="24"/>
          <w:szCs w:val="24"/>
        </w:rPr>
        <w:t xml:space="preserve">, </w:t>
      </w:r>
      <w:r w:rsidR="004E6B4B">
        <w:rPr>
          <w:sz w:val="24"/>
          <w:szCs w:val="24"/>
        </w:rPr>
        <w:t>and how</w:t>
      </w:r>
      <w:r w:rsidR="00A11A2B" w:rsidRPr="00A11A2B">
        <w:rPr>
          <w:sz w:val="24"/>
          <w:szCs w:val="24"/>
        </w:rPr>
        <w:t xml:space="preserve"> th</w:t>
      </w:r>
      <w:r w:rsidR="00DA463A">
        <w:rPr>
          <w:sz w:val="24"/>
          <w:szCs w:val="24"/>
        </w:rPr>
        <w:t>ese</w:t>
      </w:r>
      <w:r w:rsidR="00A11A2B" w:rsidRPr="00A11A2B">
        <w:rPr>
          <w:sz w:val="24"/>
          <w:szCs w:val="24"/>
        </w:rPr>
        <w:t xml:space="preserve"> might be advanced and upheld in the lives of people living with </w:t>
      </w:r>
      <w:r w:rsidR="00DA463A">
        <w:rPr>
          <w:sz w:val="24"/>
          <w:szCs w:val="24"/>
        </w:rPr>
        <w:t>disability</w:t>
      </w:r>
      <w:r w:rsidR="00A11A2B" w:rsidRPr="00A11A2B">
        <w:rPr>
          <w:sz w:val="24"/>
          <w:szCs w:val="24"/>
        </w:rPr>
        <w:t>.</w:t>
      </w:r>
      <w:r w:rsidR="00DA463A">
        <w:rPr>
          <w:sz w:val="24"/>
          <w:szCs w:val="24"/>
        </w:rPr>
        <w:t xml:space="preserve"> The following information is </w:t>
      </w:r>
      <w:r w:rsidR="006613D3">
        <w:rPr>
          <w:sz w:val="24"/>
          <w:szCs w:val="24"/>
        </w:rPr>
        <w:t xml:space="preserve">taken from the </w:t>
      </w:r>
      <w:r w:rsidR="006613D3" w:rsidRPr="008376D9">
        <w:rPr>
          <w:i/>
          <w:sz w:val="24"/>
          <w:szCs w:val="24"/>
        </w:rPr>
        <w:t xml:space="preserve">Model of Citizenhood </w:t>
      </w:r>
      <w:r w:rsidR="00DA463A" w:rsidRPr="008376D9">
        <w:rPr>
          <w:i/>
          <w:sz w:val="24"/>
          <w:szCs w:val="24"/>
        </w:rPr>
        <w:t>Support</w:t>
      </w:r>
      <w:r w:rsidR="00DA463A">
        <w:rPr>
          <w:sz w:val="24"/>
          <w:szCs w:val="24"/>
        </w:rPr>
        <w:t xml:space="preserve">. </w:t>
      </w:r>
      <w:r w:rsidR="00DA463A">
        <w:rPr>
          <w:rStyle w:val="FootnoteReference"/>
          <w:sz w:val="24"/>
          <w:szCs w:val="24"/>
        </w:rPr>
        <w:footnoteReference w:id="20"/>
      </w:r>
    </w:p>
    <w:p w:rsidR="00B21BCC" w:rsidRPr="00A11A2B" w:rsidRDefault="00B21BCC" w:rsidP="008376D9">
      <w:pPr>
        <w:spacing w:after="0" w:line="240" w:lineRule="auto"/>
        <w:rPr>
          <w:sz w:val="24"/>
          <w:szCs w:val="24"/>
        </w:rPr>
      </w:pPr>
    </w:p>
    <w:p w:rsidR="00A57037" w:rsidRDefault="00A11A2B" w:rsidP="008376D9">
      <w:pPr>
        <w:spacing w:after="0" w:line="360" w:lineRule="auto"/>
        <w:ind w:left="567" w:right="567"/>
        <w:rPr>
          <w:sz w:val="24"/>
          <w:szCs w:val="24"/>
        </w:rPr>
      </w:pPr>
      <w:r w:rsidRPr="00A11A2B">
        <w:rPr>
          <w:sz w:val="24"/>
          <w:szCs w:val="24"/>
        </w:rPr>
        <w:t>Citizenhood is a situation in which a person is actively involved as a valued member of their local community, contributing to community life. Citizenhood means people lead an active and fulfilling lifestyle informed by a set of personally defined lifestyle choices. They contribute and grow through their involvement in meaningful activities, and participate in a network of relationships characterised by acceptance, belonging and love.</w:t>
      </w:r>
    </w:p>
    <w:p w:rsidR="004030DD" w:rsidRDefault="004030DD" w:rsidP="008376D9">
      <w:pPr>
        <w:spacing w:after="0" w:line="360" w:lineRule="auto"/>
        <w:ind w:left="567" w:right="567"/>
        <w:rPr>
          <w:sz w:val="24"/>
          <w:szCs w:val="24"/>
        </w:rPr>
      </w:pPr>
    </w:p>
    <w:p w:rsidR="00A11A2B" w:rsidRDefault="00A11A2B" w:rsidP="008376D9">
      <w:pPr>
        <w:spacing w:after="0" w:line="360" w:lineRule="auto"/>
        <w:ind w:left="567" w:right="567"/>
        <w:rPr>
          <w:sz w:val="24"/>
          <w:szCs w:val="24"/>
        </w:rPr>
      </w:pPr>
      <w:r w:rsidRPr="00A11A2B">
        <w:rPr>
          <w:sz w:val="24"/>
          <w:szCs w:val="24"/>
        </w:rPr>
        <w:t xml:space="preserve">The </w:t>
      </w:r>
      <w:r w:rsidRPr="008376D9">
        <w:rPr>
          <w:i/>
          <w:sz w:val="24"/>
          <w:szCs w:val="24"/>
        </w:rPr>
        <w:t>Model of Citizenhood Support</w:t>
      </w:r>
      <w:r w:rsidRPr="00A11A2B">
        <w:rPr>
          <w:sz w:val="24"/>
          <w:szCs w:val="24"/>
        </w:rPr>
        <w:t xml:space="preserve"> is a framework for determining what kind of assistance might be most helpful to people in </w:t>
      </w:r>
      <w:r w:rsidR="00DA463A">
        <w:rPr>
          <w:sz w:val="24"/>
          <w:szCs w:val="24"/>
        </w:rPr>
        <w:t xml:space="preserve">developing their Citizenhood. </w:t>
      </w:r>
      <w:r w:rsidRPr="00A11A2B">
        <w:rPr>
          <w:sz w:val="24"/>
          <w:szCs w:val="24"/>
        </w:rPr>
        <w:t xml:space="preserve">The Model carries the assumption that a good life is crafted by the decisions we </w:t>
      </w:r>
      <w:r w:rsidRPr="00A11A2B">
        <w:rPr>
          <w:sz w:val="24"/>
          <w:szCs w:val="24"/>
        </w:rPr>
        <w:lastRenderedPageBreak/>
        <w:t>make and the actions we take. However, our decisions and actions are facilitated or constrained by our life chances.</w:t>
      </w:r>
    </w:p>
    <w:p w:rsidR="004030DD" w:rsidRDefault="004030DD" w:rsidP="008376D9">
      <w:pPr>
        <w:spacing w:after="0" w:line="360" w:lineRule="auto"/>
        <w:ind w:left="567" w:right="567"/>
        <w:rPr>
          <w:sz w:val="24"/>
          <w:szCs w:val="24"/>
        </w:rPr>
      </w:pPr>
    </w:p>
    <w:p w:rsidR="00A11A2B" w:rsidRPr="00A11A2B" w:rsidRDefault="00A11A2B" w:rsidP="008376D9">
      <w:pPr>
        <w:spacing w:after="0" w:line="360" w:lineRule="auto"/>
        <w:ind w:left="567" w:right="567"/>
        <w:rPr>
          <w:sz w:val="24"/>
          <w:szCs w:val="24"/>
        </w:rPr>
      </w:pPr>
      <w:r w:rsidRPr="00A11A2B">
        <w:rPr>
          <w:sz w:val="24"/>
          <w:szCs w:val="24"/>
        </w:rPr>
        <w:t>Having</w:t>
      </w:r>
      <w:r w:rsidR="00515799">
        <w:rPr>
          <w:sz w:val="24"/>
          <w:szCs w:val="24"/>
        </w:rPr>
        <w:t xml:space="preserve"> </w:t>
      </w:r>
      <w:r w:rsidRPr="00A11A2B">
        <w:rPr>
          <w:sz w:val="24"/>
          <w:szCs w:val="24"/>
        </w:rPr>
        <w:t xml:space="preserve">good life chances makes it easier </w:t>
      </w:r>
      <w:r>
        <w:rPr>
          <w:sz w:val="24"/>
          <w:szCs w:val="24"/>
        </w:rPr>
        <w:t xml:space="preserve">for </w:t>
      </w:r>
      <w:r w:rsidR="000916A5">
        <w:rPr>
          <w:sz w:val="24"/>
          <w:szCs w:val="24"/>
        </w:rPr>
        <w:t>individuals</w:t>
      </w:r>
      <w:r>
        <w:rPr>
          <w:sz w:val="24"/>
          <w:szCs w:val="24"/>
        </w:rPr>
        <w:t xml:space="preserve"> to build a good life</w:t>
      </w:r>
      <w:r w:rsidRPr="00A11A2B">
        <w:rPr>
          <w:sz w:val="24"/>
          <w:szCs w:val="24"/>
        </w:rPr>
        <w:t>.  Having fewer life chances makes it harder for people to build the life they want.</w:t>
      </w:r>
    </w:p>
    <w:p w:rsidR="00A11A2B" w:rsidRDefault="00A11A2B" w:rsidP="008376D9">
      <w:pPr>
        <w:spacing w:after="0" w:line="360" w:lineRule="auto"/>
        <w:ind w:left="567" w:right="567"/>
        <w:rPr>
          <w:sz w:val="24"/>
          <w:szCs w:val="24"/>
        </w:rPr>
      </w:pPr>
      <w:r w:rsidRPr="00A11A2B">
        <w:rPr>
          <w:sz w:val="24"/>
          <w:szCs w:val="24"/>
        </w:rPr>
        <w:t xml:space="preserve">The </w:t>
      </w:r>
      <w:r w:rsidRPr="008376D9">
        <w:rPr>
          <w:i/>
          <w:sz w:val="24"/>
          <w:szCs w:val="24"/>
        </w:rPr>
        <w:t>Model of Citizenhood Support</w:t>
      </w:r>
      <w:r w:rsidRPr="00A11A2B">
        <w:rPr>
          <w:sz w:val="24"/>
          <w:szCs w:val="24"/>
        </w:rPr>
        <w:t xml:space="preserve"> asserts that our life chances comprise four different, but interrelated, types of assets we can call upon, termed the Four Capitals.</w:t>
      </w:r>
      <w:r>
        <w:rPr>
          <w:sz w:val="24"/>
          <w:szCs w:val="24"/>
        </w:rPr>
        <w:t xml:space="preserve"> These are: Personal Capital, Knowledge </w:t>
      </w:r>
      <w:r w:rsidR="00BA02DF">
        <w:rPr>
          <w:sz w:val="24"/>
          <w:szCs w:val="24"/>
        </w:rPr>
        <w:t>C</w:t>
      </w:r>
      <w:r>
        <w:rPr>
          <w:sz w:val="24"/>
          <w:szCs w:val="24"/>
        </w:rPr>
        <w:t xml:space="preserve">apital, Material Capital and Social Capital. </w:t>
      </w:r>
      <w:r w:rsidRPr="00A11A2B">
        <w:rPr>
          <w:sz w:val="24"/>
          <w:szCs w:val="24"/>
        </w:rPr>
        <w:t xml:space="preserve">The Model provides an opportunity for the person to reflect on how they are currently being supported and provides a similar opportunity for agencies or individuals (for example family or friends) to reflect on how they offer assistance to the person. Such reflection is important because the Model asserts decisions and actions taken by such agencies and agents will either grow Capital or diminish it; there is no decision or action that has a neutral effect on the Capitals. This is a critical point, because it illustrates the possibility that agencies or individuals involved in people’s lives may be making decisions or taking actions, however well-intentioned, that are diminishing the Capital available to the person. </w:t>
      </w:r>
    </w:p>
    <w:p w:rsidR="00992B2B" w:rsidRDefault="00992B2B" w:rsidP="00A57037">
      <w:pPr>
        <w:rPr>
          <w:sz w:val="24"/>
          <w:szCs w:val="24"/>
        </w:rPr>
      </w:pPr>
    </w:p>
    <w:p w:rsidR="00DD64C4" w:rsidRDefault="00DD64C4" w:rsidP="00A57037">
      <w:pPr>
        <w:rPr>
          <w:sz w:val="24"/>
          <w:szCs w:val="24"/>
        </w:rPr>
      </w:pPr>
      <w:r>
        <w:rPr>
          <w:sz w:val="24"/>
          <w:szCs w:val="24"/>
        </w:rPr>
        <w:t xml:space="preserve">Young people living in residential aged care experience a negative impact on their life chances, a reduction in their Four Capitals, and a decrease in Citizenhood. Upholding the Model of Citizenhood </w:t>
      </w:r>
      <w:r w:rsidR="006906D4">
        <w:rPr>
          <w:sz w:val="24"/>
          <w:szCs w:val="24"/>
        </w:rPr>
        <w:t>S</w:t>
      </w:r>
      <w:r>
        <w:rPr>
          <w:sz w:val="24"/>
          <w:szCs w:val="24"/>
        </w:rPr>
        <w:t xml:space="preserve">upport </w:t>
      </w:r>
      <w:r w:rsidR="00911009">
        <w:rPr>
          <w:sz w:val="24"/>
          <w:szCs w:val="24"/>
        </w:rPr>
        <w:t>as a philosophical bas</w:t>
      </w:r>
      <w:r w:rsidR="006906D4">
        <w:rPr>
          <w:sz w:val="24"/>
          <w:szCs w:val="24"/>
        </w:rPr>
        <w:t>e</w:t>
      </w:r>
      <w:r w:rsidR="00911009">
        <w:rPr>
          <w:sz w:val="24"/>
          <w:szCs w:val="24"/>
        </w:rPr>
        <w:t xml:space="preserve"> will</w:t>
      </w:r>
      <w:r>
        <w:rPr>
          <w:sz w:val="24"/>
          <w:szCs w:val="24"/>
        </w:rPr>
        <w:t xml:space="preserve"> increas</w:t>
      </w:r>
      <w:r w:rsidR="00911009">
        <w:rPr>
          <w:sz w:val="24"/>
          <w:szCs w:val="24"/>
        </w:rPr>
        <w:t>e</w:t>
      </w:r>
      <w:r>
        <w:rPr>
          <w:sz w:val="24"/>
          <w:szCs w:val="24"/>
        </w:rPr>
        <w:t xml:space="preserve"> an individual’s life chances </w:t>
      </w:r>
      <w:r w:rsidR="00911009">
        <w:rPr>
          <w:sz w:val="24"/>
          <w:szCs w:val="24"/>
        </w:rPr>
        <w:t xml:space="preserve">and </w:t>
      </w:r>
      <w:r>
        <w:rPr>
          <w:sz w:val="24"/>
          <w:szCs w:val="24"/>
        </w:rPr>
        <w:t xml:space="preserve">should be the starting point for any conversation about </w:t>
      </w:r>
      <w:r w:rsidR="00BA02DF">
        <w:rPr>
          <w:sz w:val="24"/>
          <w:szCs w:val="24"/>
        </w:rPr>
        <w:t xml:space="preserve">housing options for </w:t>
      </w:r>
      <w:r>
        <w:rPr>
          <w:sz w:val="24"/>
          <w:szCs w:val="24"/>
        </w:rPr>
        <w:t>younger people living</w:t>
      </w:r>
      <w:r w:rsidR="00BA02DF">
        <w:rPr>
          <w:sz w:val="24"/>
          <w:szCs w:val="24"/>
        </w:rPr>
        <w:t xml:space="preserve"> with disability</w:t>
      </w:r>
      <w:r w:rsidR="00911009">
        <w:rPr>
          <w:sz w:val="24"/>
          <w:szCs w:val="24"/>
        </w:rPr>
        <w:t>.</w:t>
      </w:r>
    </w:p>
    <w:p w:rsidR="00992B2B" w:rsidRDefault="00992B2B" w:rsidP="006906D4">
      <w:pPr>
        <w:pStyle w:val="Heading4"/>
      </w:pPr>
    </w:p>
    <w:p w:rsidR="002359D3" w:rsidRDefault="002359D3">
      <w:pPr>
        <w:rPr>
          <w:b/>
        </w:rPr>
      </w:pPr>
      <w:r>
        <w:br w:type="page"/>
      </w:r>
    </w:p>
    <w:p w:rsidR="003A457F" w:rsidRDefault="003A457F" w:rsidP="006906D4">
      <w:pPr>
        <w:pStyle w:val="Heading4"/>
      </w:pPr>
      <w:r>
        <w:lastRenderedPageBreak/>
        <w:t>NDIS</w:t>
      </w:r>
    </w:p>
    <w:p w:rsidR="002A6D28" w:rsidRPr="00852436" w:rsidRDefault="002A6D28" w:rsidP="002A6D28">
      <w:pPr>
        <w:rPr>
          <w:sz w:val="24"/>
          <w:szCs w:val="24"/>
        </w:rPr>
      </w:pPr>
      <w:r w:rsidRPr="00852436">
        <w:rPr>
          <w:sz w:val="24"/>
          <w:szCs w:val="24"/>
        </w:rPr>
        <w:t xml:space="preserve">In the NDIS landscape, the focus must be on the individual. </w:t>
      </w:r>
      <w:r w:rsidR="00852436" w:rsidRPr="00852436">
        <w:rPr>
          <w:sz w:val="24"/>
          <w:szCs w:val="24"/>
        </w:rPr>
        <w:t>The values of power, choice and control described earlier strongly al</w:t>
      </w:r>
      <w:r w:rsidR="00FE33A1">
        <w:rPr>
          <w:sz w:val="24"/>
          <w:szCs w:val="24"/>
        </w:rPr>
        <w:t>ign</w:t>
      </w:r>
      <w:r w:rsidR="00852436" w:rsidRPr="00852436">
        <w:rPr>
          <w:sz w:val="24"/>
          <w:szCs w:val="24"/>
        </w:rPr>
        <w:t xml:space="preserve"> with the principles of the NDIS</w:t>
      </w:r>
      <w:r w:rsidR="00FE33A1">
        <w:rPr>
          <w:sz w:val="24"/>
          <w:szCs w:val="24"/>
        </w:rPr>
        <w:t>,</w:t>
      </w:r>
      <w:r w:rsidR="00852436" w:rsidRPr="00852436">
        <w:rPr>
          <w:sz w:val="24"/>
          <w:szCs w:val="24"/>
        </w:rPr>
        <w:t xml:space="preserve"> and provide a context for</w:t>
      </w:r>
      <w:r w:rsidRPr="00852436">
        <w:rPr>
          <w:sz w:val="24"/>
          <w:szCs w:val="24"/>
        </w:rPr>
        <w:t xml:space="preserve">: </w:t>
      </w:r>
    </w:p>
    <w:p w:rsidR="002A6D28" w:rsidRDefault="002A6D28" w:rsidP="008376D9">
      <w:pPr>
        <w:pStyle w:val="ListParagraph"/>
        <w:autoSpaceDE/>
        <w:autoSpaceDN/>
        <w:adjustRightInd/>
        <w:spacing w:after="0" w:line="360" w:lineRule="auto"/>
        <w:ind w:left="567" w:right="567"/>
      </w:pPr>
      <w:r w:rsidRPr="00852436">
        <w:t>“… a shift from block funding and a service-centred model to one in which people with disabilities and their carers would</w:t>
      </w:r>
      <w:r>
        <w:t xml:space="preserve"> wield the greatest control, whether that be to cash out their package, or to have it met in flexible ways by providers.”</w:t>
      </w:r>
      <w:r>
        <w:rPr>
          <w:rStyle w:val="FootnoteReference"/>
        </w:rPr>
        <w:footnoteReference w:id="21"/>
      </w:r>
    </w:p>
    <w:p w:rsidR="002A6D28" w:rsidRDefault="002A6D28" w:rsidP="002A6D28">
      <w:pPr>
        <w:pStyle w:val="ListParagraph"/>
        <w:autoSpaceDE/>
        <w:autoSpaceDN/>
        <w:adjustRightInd/>
        <w:spacing w:after="200"/>
        <w:ind w:left="0"/>
      </w:pPr>
    </w:p>
    <w:p w:rsidR="00FE33A1" w:rsidRDefault="00FE33A1" w:rsidP="002A6D28">
      <w:pPr>
        <w:pStyle w:val="ListParagraph"/>
        <w:autoSpaceDE/>
        <w:autoSpaceDN/>
        <w:adjustRightInd/>
        <w:spacing w:after="200"/>
        <w:ind w:left="0"/>
      </w:pPr>
      <w:r>
        <w:t xml:space="preserve">The NDIS website states the </w:t>
      </w:r>
      <w:r w:rsidR="004773FF">
        <w:t>scheme</w:t>
      </w:r>
      <w:r>
        <w:t>:</w:t>
      </w:r>
    </w:p>
    <w:p w:rsidR="00FE33A1" w:rsidRDefault="00FE33A1" w:rsidP="00FE33A1">
      <w:pPr>
        <w:pStyle w:val="ListParagraph"/>
        <w:autoSpaceDE/>
        <w:autoSpaceDN/>
        <w:adjustRightInd/>
        <w:spacing w:after="200"/>
        <w:ind w:left="0"/>
      </w:pPr>
    </w:p>
    <w:p w:rsidR="00FE33A1" w:rsidRDefault="00FE33A1" w:rsidP="008376D9">
      <w:pPr>
        <w:pStyle w:val="ListParagraph"/>
        <w:autoSpaceDE/>
        <w:autoSpaceDN/>
        <w:adjustRightInd/>
        <w:spacing w:after="0" w:line="360" w:lineRule="auto"/>
        <w:ind w:left="567" w:right="567"/>
      </w:pPr>
      <w:r>
        <w:t xml:space="preserve"> “</w:t>
      </w:r>
      <w:r w:rsidR="00370463">
        <w:t xml:space="preserve">… </w:t>
      </w:r>
      <w:r w:rsidRPr="00FE33A1">
        <w:t>gives you more choice and control over how, when and where your supports are provided, and gives you certainty you will receive the support you need over your lifetime.</w:t>
      </w:r>
      <w:r w:rsidR="00370463">
        <w:t>”</w:t>
      </w:r>
      <w:r>
        <w:rPr>
          <w:rStyle w:val="FootnoteReference"/>
        </w:rPr>
        <w:footnoteReference w:id="22"/>
      </w:r>
    </w:p>
    <w:p w:rsidR="00FE33A1" w:rsidRDefault="00FE33A1" w:rsidP="00FE33A1">
      <w:pPr>
        <w:pStyle w:val="ListParagraph"/>
        <w:autoSpaceDE/>
        <w:autoSpaceDN/>
        <w:adjustRightInd/>
        <w:spacing w:after="200"/>
        <w:ind w:left="360"/>
      </w:pPr>
    </w:p>
    <w:p w:rsidR="006C6ACB" w:rsidRPr="002359D3" w:rsidRDefault="00852436" w:rsidP="006C6ACB">
      <w:pPr>
        <w:pStyle w:val="ListParagraph"/>
        <w:autoSpaceDE/>
        <w:autoSpaceDN/>
        <w:adjustRightInd/>
        <w:spacing w:after="200"/>
        <w:ind w:left="0"/>
      </w:pPr>
      <w:r>
        <w:t xml:space="preserve">Given the context of the NDIS, no young person should have to live in a residential aged care facility. </w:t>
      </w:r>
      <w:bookmarkEnd w:id="0"/>
    </w:p>
    <w:p w:rsidR="00A57037" w:rsidRDefault="000C773D" w:rsidP="00DF2983">
      <w:pPr>
        <w:pStyle w:val="Heading3"/>
        <w:rPr>
          <w:lang w:val="en"/>
        </w:rPr>
      </w:pPr>
      <w:bookmarkStart w:id="19" w:name="_Toc412197793"/>
      <w:r>
        <w:rPr>
          <w:lang w:val="en"/>
        </w:rPr>
        <w:t>A range of options</w:t>
      </w:r>
      <w:bookmarkEnd w:id="19"/>
    </w:p>
    <w:p w:rsidR="00521A5D" w:rsidRDefault="00521A5D" w:rsidP="008376D9">
      <w:pPr>
        <w:spacing w:after="0" w:line="240" w:lineRule="auto"/>
        <w:rPr>
          <w:sz w:val="24"/>
          <w:szCs w:val="24"/>
          <w:lang w:val="en"/>
        </w:rPr>
      </w:pPr>
    </w:p>
    <w:p w:rsidR="003A457F" w:rsidRDefault="003A457F" w:rsidP="008376D9">
      <w:pPr>
        <w:spacing w:after="0" w:line="240" w:lineRule="auto"/>
        <w:rPr>
          <w:sz w:val="24"/>
          <w:szCs w:val="24"/>
          <w:lang w:val="en"/>
        </w:rPr>
      </w:pPr>
      <w:r>
        <w:rPr>
          <w:sz w:val="24"/>
          <w:szCs w:val="24"/>
          <w:lang w:val="en"/>
        </w:rPr>
        <w:t xml:space="preserve">Currently young people living with significant disability live in a range of accommodation from contemporary to traditional models, to those that could be considered </w:t>
      </w:r>
      <w:r w:rsidR="00852436">
        <w:rPr>
          <w:sz w:val="24"/>
          <w:szCs w:val="24"/>
          <w:lang w:val="en"/>
        </w:rPr>
        <w:t xml:space="preserve">more </w:t>
      </w:r>
      <w:r w:rsidR="004773FF">
        <w:rPr>
          <w:sz w:val="24"/>
          <w:szCs w:val="24"/>
          <w:lang w:val="en"/>
        </w:rPr>
        <w:t>“</w:t>
      </w:r>
      <w:r w:rsidR="00852436">
        <w:rPr>
          <w:sz w:val="24"/>
          <w:szCs w:val="24"/>
          <w:lang w:val="en"/>
        </w:rPr>
        <w:t>historic</w:t>
      </w:r>
      <w:r w:rsidR="004773FF">
        <w:rPr>
          <w:sz w:val="24"/>
          <w:szCs w:val="24"/>
          <w:lang w:val="en"/>
        </w:rPr>
        <w:t>”</w:t>
      </w:r>
      <w:r w:rsidR="00852436">
        <w:rPr>
          <w:sz w:val="24"/>
          <w:szCs w:val="24"/>
          <w:lang w:val="en"/>
        </w:rPr>
        <w:t>. Generally, there has been a sector-wide shift towards the contemporary models described below:</w:t>
      </w:r>
    </w:p>
    <w:p w:rsidR="004773FF" w:rsidRDefault="004773FF" w:rsidP="008376D9">
      <w:pPr>
        <w:spacing w:after="0" w:line="240" w:lineRule="auto"/>
        <w:rPr>
          <w:sz w:val="24"/>
          <w:szCs w:val="24"/>
          <w:lang w:val="en"/>
        </w:rPr>
      </w:pPr>
    </w:p>
    <w:p w:rsidR="004773FF" w:rsidRPr="004773FF" w:rsidRDefault="00C67A10" w:rsidP="008376D9">
      <w:pPr>
        <w:pStyle w:val="ListParagraph"/>
        <w:numPr>
          <w:ilvl w:val="0"/>
          <w:numId w:val="38"/>
        </w:numPr>
        <w:spacing w:after="0" w:line="240" w:lineRule="auto"/>
        <w:rPr>
          <w:lang w:val="en"/>
        </w:rPr>
      </w:pPr>
      <w:r>
        <w:rPr>
          <w:lang w:val="en"/>
        </w:rPr>
        <w:t>Contemporary:</w:t>
      </w:r>
      <w:r w:rsidR="006E1ECD">
        <w:rPr>
          <w:lang w:val="en"/>
        </w:rPr>
        <w:t xml:space="preserve"> </w:t>
      </w:r>
    </w:p>
    <w:p w:rsidR="003A457F" w:rsidRDefault="006E1ECD" w:rsidP="008376D9">
      <w:pPr>
        <w:pStyle w:val="ListParagraph"/>
        <w:numPr>
          <w:ilvl w:val="1"/>
          <w:numId w:val="38"/>
        </w:numPr>
        <w:spacing w:after="0" w:line="240" w:lineRule="auto"/>
        <w:rPr>
          <w:lang w:val="en"/>
        </w:rPr>
      </w:pPr>
      <w:r>
        <w:rPr>
          <w:lang w:val="en"/>
        </w:rPr>
        <w:t>Living with family with appropriate building modifications</w:t>
      </w:r>
    </w:p>
    <w:p w:rsidR="006E1ECD" w:rsidRDefault="00852436" w:rsidP="008376D9">
      <w:pPr>
        <w:pStyle w:val="ListParagraph"/>
        <w:numPr>
          <w:ilvl w:val="1"/>
          <w:numId w:val="38"/>
        </w:numPr>
        <w:spacing w:after="0" w:line="240" w:lineRule="auto"/>
        <w:rPr>
          <w:lang w:val="en"/>
        </w:rPr>
      </w:pPr>
      <w:r>
        <w:rPr>
          <w:lang w:val="en"/>
        </w:rPr>
        <w:t>Co-tenancy</w:t>
      </w:r>
      <w:r w:rsidR="006E1ECD">
        <w:rPr>
          <w:lang w:val="en"/>
        </w:rPr>
        <w:t xml:space="preserve"> with friends or flatmates in private rental</w:t>
      </w:r>
      <w:r w:rsidR="00D759D8">
        <w:rPr>
          <w:lang w:val="en"/>
        </w:rPr>
        <w:t xml:space="preserve"> or affordable housing</w:t>
      </w:r>
    </w:p>
    <w:p w:rsidR="006E1ECD" w:rsidRDefault="006E1ECD" w:rsidP="008376D9">
      <w:pPr>
        <w:pStyle w:val="ListParagraph"/>
        <w:numPr>
          <w:ilvl w:val="1"/>
          <w:numId w:val="38"/>
        </w:numPr>
        <w:spacing w:after="0" w:line="240" w:lineRule="auto"/>
        <w:rPr>
          <w:lang w:val="en"/>
        </w:rPr>
      </w:pPr>
      <w:r>
        <w:rPr>
          <w:lang w:val="en"/>
        </w:rPr>
        <w:t>Living alone with support as required</w:t>
      </w:r>
      <w:r w:rsidR="00D759D8">
        <w:rPr>
          <w:lang w:val="en"/>
        </w:rPr>
        <w:t xml:space="preserve"> in private rental or affordable housing</w:t>
      </w:r>
    </w:p>
    <w:p w:rsidR="002A6D28" w:rsidRDefault="002A6D28" w:rsidP="008376D9">
      <w:pPr>
        <w:pStyle w:val="ListParagraph"/>
        <w:numPr>
          <w:ilvl w:val="1"/>
          <w:numId w:val="38"/>
        </w:numPr>
        <w:spacing w:after="0" w:line="240" w:lineRule="auto"/>
        <w:rPr>
          <w:lang w:val="en"/>
        </w:rPr>
      </w:pPr>
      <w:r>
        <w:rPr>
          <w:lang w:val="en"/>
        </w:rPr>
        <w:t xml:space="preserve">Home-share options where a person </w:t>
      </w:r>
      <w:r w:rsidR="004773FF">
        <w:rPr>
          <w:lang w:val="en"/>
        </w:rPr>
        <w:t xml:space="preserve">living </w:t>
      </w:r>
      <w:r>
        <w:rPr>
          <w:lang w:val="en"/>
        </w:rPr>
        <w:t>with disability shares accommodation with someone without disability (often a student) for reduced or no rent in excha</w:t>
      </w:r>
      <w:r w:rsidR="00D759D8">
        <w:rPr>
          <w:lang w:val="en"/>
        </w:rPr>
        <w:t>nge for support around the home</w:t>
      </w:r>
    </w:p>
    <w:p w:rsidR="00331C74" w:rsidRDefault="00331C74" w:rsidP="008376D9">
      <w:pPr>
        <w:pStyle w:val="ListParagraph"/>
        <w:numPr>
          <w:ilvl w:val="1"/>
          <w:numId w:val="38"/>
        </w:numPr>
        <w:spacing w:after="0" w:line="240" w:lineRule="auto"/>
        <w:rPr>
          <w:lang w:val="en"/>
        </w:rPr>
      </w:pPr>
      <w:r>
        <w:rPr>
          <w:lang w:val="en"/>
        </w:rPr>
        <w:t xml:space="preserve">Attendant care – individual dwellings peppered with in a suburb who use the same support </w:t>
      </w:r>
    </w:p>
    <w:p w:rsidR="006E1ECD" w:rsidRDefault="006E1ECD" w:rsidP="008376D9">
      <w:pPr>
        <w:pStyle w:val="ListParagraph"/>
        <w:numPr>
          <w:ilvl w:val="1"/>
          <w:numId w:val="38"/>
        </w:numPr>
        <w:spacing w:after="0" w:line="240" w:lineRule="auto"/>
        <w:rPr>
          <w:lang w:val="en"/>
        </w:rPr>
      </w:pPr>
      <w:r>
        <w:rPr>
          <w:lang w:val="en"/>
        </w:rPr>
        <w:t xml:space="preserve">Mini-cluster housing – two or three </w:t>
      </w:r>
      <w:r w:rsidR="00331C74">
        <w:rPr>
          <w:lang w:val="en"/>
        </w:rPr>
        <w:t xml:space="preserve">units </w:t>
      </w:r>
      <w:r>
        <w:rPr>
          <w:lang w:val="en"/>
        </w:rPr>
        <w:t>on one site with support as required</w:t>
      </w:r>
      <w:r w:rsidR="004773FF">
        <w:rPr>
          <w:lang w:val="en"/>
        </w:rPr>
        <w:t>.</w:t>
      </w:r>
    </w:p>
    <w:p w:rsidR="004773FF" w:rsidRDefault="004773FF" w:rsidP="008376D9">
      <w:pPr>
        <w:pStyle w:val="ListParagraph"/>
        <w:spacing w:after="0" w:line="240" w:lineRule="auto"/>
        <w:ind w:left="1080"/>
        <w:rPr>
          <w:lang w:val="en"/>
        </w:rPr>
      </w:pPr>
    </w:p>
    <w:p w:rsidR="008964CA" w:rsidRDefault="00C67A10" w:rsidP="008376D9">
      <w:pPr>
        <w:pStyle w:val="ListParagraph"/>
        <w:numPr>
          <w:ilvl w:val="0"/>
          <w:numId w:val="38"/>
        </w:numPr>
        <w:spacing w:after="0" w:line="240" w:lineRule="auto"/>
        <w:rPr>
          <w:lang w:val="en"/>
        </w:rPr>
      </w:pPr>
      <w:r>
        <w:rPr>
          <w:lang w:val="en"/>
        </w:rPr>
        <w:t>Traditional:</w:t>
      </w:r>
      <w:r w:rsidR="008964CA">
        <w:rPr>
          <w:lang w:val="en"/>
        </w:rPr>
        <w:t xml:space="preserve">  </w:t>
      </w:r>
    </w:p>
    <w:p w:rsidR="00331C74" w:rsidRPr="00331C74" w:rsidRDefault="00331C74" w:rsidP="008376D9">
      <w:pPr>
        <w:pStyle w:val="ListParagraph"/>
        <w:numPr>
          <w:ilvl w:val="1"/>
          <w:numId w:val="38"/>
        </w:numPr>
        <w:spacing w:after="0" w:line="240" w:lineRule="auto"/>
        <w:rPr>
          <w:lang w:val="en"/>
        </w:rPr>
      </w:pPr>
      <w:r>
        <w:rPr>
          <w:lang w:val="en"/>
        </w:rPr>
        <w:t>Cluster-housing – one large central dwelling with multiple individual dwelling on same site with support as required</w:t>
      </w:r>
    </w:p>
    <w:p w:rsidR="008964CA" w:rsidRDefault="008964CA" w:rsidP="008376D9">
      <w:pPr>
        <w:pStyle w:val="ListParagraph"/>
        <w:numPr>
          <w:ilvl w:val="1"/>
          <w:numId w:val="38"/>
        </w:numPr>
        <w:spacing w:after="0" w:line="240" w:lineRule="auto"/>
        <w:rPr>
          <w:lang w:val="en"/>
        </w:rPr>
      </w:pPr>
      <w:r>
        <w:rPr>
          <w:lang w:val="en"/>
        </w:rPr>
        <w:t>Small group homes - three or four individuals sharing one house</w:t>
      </w:r>
    </w:p>
    <w:p w:rsidR="00C67A10" w:rsidRDefault="00D759D8" w:rsidP="008376D9">
      <w:pPr>
        <w:pStyle w:val="ListParagraph"/>
        <w:numPr>
          <w:ilvl w:val="1"/>
          <w:numId w:val="38"/>
        </w:numPr>
        <w:spacing w:after="0" w:line="240" w:lineRule="auto"/>
        <w:rPr>
          <w:lang w:val="en"/>
        </w:rPr>
      </w:pPr>
      <w:r>
        <w:rPr>
          <w:lang w:val="en"/>
        </w:rPr>
        <w:t xml:space="preserve">Large group homes - </w:t>
      </w:r>
      <w:r w:rsidR="008964CA">
        <w:rPr>
          <w:lang w:val="en"/>
        </w:rPr>
        <w:t>multiple dwellings on one site, each with a number of individuals sharing a house</w:t>
      </w:r>
      <w:r>
        <w:rPr>
          <w:lang w:val="en"/>
        </w:rPr>
        <w:t>.</w:t>
      </w:r>
    </w:p>
    <w:p w:rsidR="00591D39" w:rsidRPr="00591D39" w:rsidRDefault="00591D39" w:rsidP="008376D9">
      <w:pPr>
        <w:spacing w:after="0" w:line="240" w:lineRule="auto"/>
        <w:rPr>
          <w:lang w:val="en"/>
        </w:rPr>
      </w:pPr>
    </w:p>
    <w:p w:rsidR="00C67A10" w:rsidRDefault="00C67A10" w:rsidP="008376D9">
      <w:pPr>
        <w:pStyle w:val="ListParagraph"/>
        <w:numPr>
          <w:ilvl w:val="0"/>
          <w:numId w:val="38"/>
        </w:numPr>
        <w:spacing w:after="0" w:line="240" w:lineRule="auto"/>
        <w:rPr>
          <w:lang w:val="en"/>
        </w:rPr>
      </w:pPr>
      <w:r>
        <w:rPr>
          <w:lang w:val="en"/>
        </w:rPr>
        <w:t>Historic:</w:t>
      </w:r>
    </w:p>
    <w:p w:rsidR="008964CA" w:rsidRDefault="008964CA" w:rsidP="008376D9">
      <w:pPr>
        <w:pStyle w:val="ListParagraph"/>
        <w:numPr>
          <w:ilvl w:val="1"/>
          <w:numId w:val="38"/>
        </w:numPr>
        <w:spacing w:after="0" w:line="240" w:lineRule="auto"/>
        <w:rPr>
          <w:lang w:val="en"/>
        </w:rPr>
      </w:pPr>
      <w:r>
        <w:rPr>
          <w:lang w:val="en"/>
        </w:rPr>
        <w:t>Boarding houses</w:t>
      </w:r>
    </w:p>
    <w:p w:rsidR="008964CA" w:rsidRDefault="008964CA" w:rsidP="008376D9">
      <w:pPr>
        <w:pStyle w:val="ListParagraph"/>
        <w:numPr>
          <w:ilvl w:val="1"/>
          <w:numId w:val="38"/>
        </w:numPr>
        <w:spacing w:after="0" w:line="240" w:lineRule="auto"/>
        <w:rPr>
          <w:lang w:val="en"/>
        </w:rPr>
      </w:pPr>
      <w:r>
        <w:rPr>
          <w:lang w:val="en"/>
        </w:rPr>
        <w:t>Large</w:t>
      </w:r>
      <w:r w:rsidR="00D759D8">
        <w:rPr>
          <w:lang w:val="en"/>
        </w:rPr>
        <w:t xml:space="preserve"> congregate institutions.</w:t>
      </w:r>
    </w:p>
    <w:p w:rsidR="00845A7B" w:rsidRPr="00845A7B" w:rsidRDefault="00845A7B" w:rsidP="008376D9">
      <w:pPr>
        <w:spacing w:after="0" w:line="240" w:lineRule="auto"/>
        <w:rPr>
          <w:lang w:val="en"/>
        </w:rPr>
      </w:pPr>
    </w:p>
    <w:p w:rsidR="00DB09D4" w:rsidRDefault="002A6D28" w:rsidP="008B652A">
      <w:pPr>
        <w:spacing w:after="0" w:line="240" w:lineRule="auto"/>
        <w:rPr>
          <w:sz w:val="24"/>
        </w:rPr>
      </w:pPr>
      <w:r>
        <w:rPr>
          <w:sz w:val="24"/>
        </w:rPr>
        <w:t xml:space="preserve">From our experience we have noted the value of individual (rather than shared) </w:t>
      </w:r>
      <w:r w:rsidR="008B652A">
        <w:rPr>
          <w:sz w:val="24"/>
        </w:rPr>
        <w:t>tenancies</w:t>
      </w:r>
      <w:r>
        <w:rPr>
          <w:sz w:val="24"/>
        </w:rPr>
        <w:t>. This</w:t>
      </w:r>
      <w:r w:rsidR="008B652A" w:rsidRPr="002B2D15">
        <w:rPr>
          <w:sz w:val="24"/>
        </w:rPr>
        <w:t xml:space="preserve"> </w:t>
      </w:r>
      <w:r w:rsidR="008B652A">
        <w:rPr>
          <w:sz w:val="24"/>
        </w:rPr>
        <w:t>ensure</w:t>
      </w:r>
      <w:r>
        <w:rPr>
          <w:sz w:val="24"/>
        </w:rPr>
        <w:t>s</w:t>
      </w:r>
      <w:r w:rsidR="008B652A">
        <w:rPr>
          <w:sz w:val="24"/>
        </w:rPr>
        <w:t xml:space="preserve"> </w:t>
      </w:r>
      <w:r w:rsidR="008B652A" w:rsidRPr="002B2D15">
        <w:rPr>
          <w:sz w:val="24"/>
        </w:rPr>
        <w:t>people living with disability are not obliged to live with three or four other</w:t>
      </w:r>
      <w:r w:rsidR="008B652A">
        <w:rPr>
          <w:sz w:val="24"/>
        </w:rPr>
        <w:t>s</w:t>
      </w:r>
      <w:r w:rsidR="008B652A" w:rsidRPr="002B2D15">
        <w:rPr>
          <w:sz w:val="24"/>
        </w:rPr>
        <w:t xml:space="preserve"> in a group home </w:t>
      </w:r>
      <w:r w:rsidR="008B652A">
        <w:rPr>
          <w:sz w:val="24"/>
        </w:rPr>
        <w:t>setting</w:t>
      </w:r>
      <w:r w:rsidR="008B652A" w:rsidRPr="002B2D15">
        <w:rPr>
          <w:sz w:val="24"/>
        </w:rPr>
        <w:t>, with people they may not know or have little in common with apart from</w:t>
      </w:r>
      <w:r w:rsidR="008B652A">
        <w:rPr>
          <w:sz w:val="24"/>
        </w:rPr>
        <w:t xml:space="preserve"> living with</w:t>
      </w:r>
      <w:r w:rsidR="008B652A" w:rsidRPr="002B2D15">
        <w:rPr>
          <w:sz w:val="24"/>
        </w:rPr>
        <w:t xml:space="preserve"> disability. </w:t>
      </w:r>
    </w:p>
    <w:p w:rsidR="006C6ACB" w:rsidRDefault="006C6ACB" w:rsidP="006C6ACB">
      <w:pPr>
        <w:rPr>
          <w:sz w:val="24"/>
        </w:rPr>
      </w:pPr>
    </w:p>
    <w:p w:rsidR="008B652A" w:rsidRPr="002B2D15" w:rsidRDefault="00AB4564" w:rsidP="006C6ACB">
      <w:pPr>
        <w:rPr>
          <w:sz w:val="24"/>
        </w:rPr>
      </w:pPr>
      <w:r>
        <w:rPr>
          <w:sz w:val="24"/>
        </w:rPr>
        <w:t>The following comments were from i</w:t>
      </w:r>
      <w:r w:rsidR="002A6D28">
        <w:rPr>
          <w:sz w:val="24"/>
        </w:rPr>
        <w:t>nterviews with social housing tenants</w:t>
      </w:r>
      <w:r>
        <w:rPr>
          <w:sz w:val="24"/>
        </w:rPr>
        <w:t xml:space="preserve"> and their families</w:t>
      </w:r>
      <w:r w:rsidR="008B652A" w:rsidRPr="002B2D15">
        <w:rPr>
          <w:sz w:val="24"/>
        </w:rPr>
        <w:t xml:space="preserve">: </w:t>
      </w:r>
    </w:p>
    <w:p w:rsidR="008B652A" w:rsidRPr="002B2D15" w:rsidRDefault="008B652A" w:rsidP="008B652A">
      <w:pPr>
        <w:spacing w:after="0" w:line="240" w:lineRule="auto"/>
        <w:rPr>
          <w:sz w:val="24"/>
        </w:rPr>
      </w:pPr>
    </w:p>
    <w:p w:rsidR="008B652A" w:rsidRPr="002B2D15" w:rsidRDefault="008B652A" w:rsidP="008376D9">
      <w:pPr>
        <w:spacing w:after="0" w:line="360" w:lineRule="auto"/>
        <w:ind w:left="567" w:right="567"/>
        <w:rPr>
          <w:sz w:val="24"/>
        </w:rPr>
      </w:pPr>
      <w:r w:rsidRPr="002B2D15">
        <w:rPr>
          <w:sz w:val="24"/>
        </w:rPr>
        <w:t>“You have your own unit, to do what you want. I couldn’t share with someone else.”</w:t>
      </w:r>
    </w:p>
    <w:p w:rsidR="008B652A" w:rsidRDefault="00AB4564" w:rsidP="008376D9">
      <w:pPr>
        <w:spacing w:after="0" w:line="360" w:lineRule="auto"/>
        <w:ind w:left="567" w:right="567"/>
        <w:rPr>
          <w:sz w:val="24"/>
        </w:rPr>
      </w:pPr>
      <w:r>
        <w:rPr>
          <w:sz w:val="24"/>
        </w:rPr>
        <w:t xml:space="preserve">“[You have an] </w:t>
      </w:r>
      <w:r w:rsidR="008B652A" w:rsidRPr="003F40B5">
        <w:rPr>
          <w:sz w:val="24"/>
        </w:rPr>
        <w:t>independent back yard, having your own things, family visiting. The family can sit in a casual setting, and you don’t get that in a nursing home – you have to go to a day area. There’s more time to sit - no time limits or restrictions. You can go to bed anytime you like. A better environment.”</w:t>
      </w:r>
      <w:r w:rsidR="00DF2983">
        <w:rPr>
          <w:rStyle w:val="FootnoteReference"/>
          <w:sz w:val="24"/>
        </w:rPr>
        <w:footnoteReference w:id="23"/>
      </w:r>
    </w:p>
    <w:p w:rsidR="008B652A" w:rsidRPr="002B2D15" w:rsidRDefault="008B652A" w:rsidP="008B652A">
      <w:pPr>
        <w:spacing w:after="0" w:line="240" w:lineRule="auto"/>
        <w:ind w:left="720"/>
        <w:rPr>
          <w:sz w:val="24"/>
        </w:rPr>
      </w:pPr>
    </w:p>
    <w:p w:rsidR="00D759D8" w:rsidRPr="002B2D15" w:rsidRDefault="00D759D8" w:rsidP="00D759D8">
      <w:pPr>
        <w:spacing w:after="0" w:line="240" w:lineRule="auto"/>
        <w:rPr>
          <w:sz w:val="24"/>
        </w:rPr>
      </w:pPr>
      <w:r>
        <w:rPr>
          <w:sz w:val="24"/>
          <w:szCs w:val="24"/>
          <w:lang w:val="en"/>
        </w:rPr>
        <w:t xml:space="preserve">JFA Purple Orange recommends that pathways to contemporary models are explored to enable individuals to have genuine choice in their housing, for both the 6500 younger people currently residing in residential aged care, and for those individual currently awaiting suitable accommodation options. </w:t>
      </w:r>
    </w:p>
    <w:p w:rsidR="00032809" w:rsidRDefault="00032809">
      <w:pPr>
        <w:rPr>
          <w:sz w:val="24"/>
          <w:szCs w:val="24"/>
          <w:lang w:val="en"/>
        </w:rPr>
      </w:pPr>
      <w:r>
        <w:rPr>
          <w:sz w:val="24"/>
          <w:szCs w:val="24"/>
          <w:lang w:val="en"/>
        </w:rPr>
        <w:br w:type="page"/>
      </w:r>
    </w:p>
    <w:p w:rsidR="000C773D" w:rsidRPr="003A457F" w:rsidRDefault="000C773D" w:rsidP="000C773D">
      <w:pPr>
        <w:rPr>
          <w:sz w:val="24"/>
          <w:szCs w:val="24"/>
          <w:lang w:val="en"/>
        </w:rPr>
      </w:pPr>
    </w:p>
    <w:p w:rsidR="00E3022D" w:rsidRDefault="009B3826" w:rsidP="00244C7B">
      <w:pPr>
        <w:pStyle w:val="Heading3"/>
        <w:numPr>
          <w:ilvl w:val="0"/>
          <w:numId w:val="0"/>
        </w:numPr>
        <w:ind w:left="720"/>
        <w:rPr>
          <w:lang w:val="en"/>
        </w:rPr>
      </w:pPr>
      <w:bookmarkStart w:id="20" w:name="_Toc412197794"/>
      <w:r>
        <w:rPr>
          <w:lang w:val="en"/>
        </w:rPr>
        <w:t>3.</w:t>
      </w:r>
      <w:r w:rsidR="005206AC">
        <w:rPr>
          <w:lang w:val="en"/>
        </w:rPr>
        <w:t>3.5</w:t>
      </w:r>
      <w:r w:rsidR="007D0503">
        <w:rPr>
          <w:lang w:val="en"/>
        </w:rPr>
        <w:t>.</w:t>
      </w:r>
      <w:r w:rsidR="00A57037">
        <w:rPr>
          <w:lang w:val="en"/>
        </w:rPr>
        <w:tab/>
      </w:r>
      <w:r w:rsidR="003A457F">
        <w:rPr>
          <w:lang w:val="en"/>
        </w:rPr>
        <w:t>A</w:t>
      </w:r>
      <w:r w:rsidR="005206AC">
        <w:rPr>
          <w:lang w:val="en"/>
        </w:rPr>
        <w:t>n</w:t>
      </w:r>
      <w:r w:rsidR="003A457F">
        <w:rPr>
          <w:lang w:val="en"/>
        </w:rPr>
        <w:t xml:space="preserve"> e</w:t>
      </w:r>
      <w:r w:rsidR="00B20639">
        <w:rPr>
          <w:lang w:val="en"/>
        </w:rPr>
        <w:t>xample</w:t>
      </w:r>
      <w:r w:rsidR="003A457F">
        <w:rPr>
          <w:lang w:val="en"/>
        </w:rPr>
        <w:t xml:space="preserve"> </w:t>
      </w:r>
      <w:r w:rsidR="00B20639">
        <w:rPr>
          <w:lang w:val="en"/>
        </w:rPr>
        <w:t xml:space="preserve">of </w:t>
      </w:r>
      <w:r w:rsidR="008B652A">
        <w:rPr>
          <w:lang w:val="en"/>
        </w:rPr>
        <w:t xml:space="preserve">contemporary </w:t>
      </w:r>
      <w:r w:rsidR="003A457F">
        <w:rPr>
          <w:lang w:val="en"/>
        </w:rPr>
        <w:t xml:space="preserve">community </w:t>
      </w:r>
      <w:r w:rsidR="00B20639">
        <w:rPr>
          <w:lang w:val="en"/>
        </w:rPr>
        <w:t>social housing</w:t>
      </w:r>
      <w:bookmarkEnd w:id="20"/>
      <w:r w:rsidR="00B20639">
        <w:rPr>
          <w:lang w:val="en"/>
        </w:rPr>
        <w:t xml:space="preserve"> </w:t>
      </w:r>
      <w:r w:rsidR="00725879">
        <w:rPr>
          <w:lang w:val="en"/>
        </w:rPr>
        <w:br/>
      </w:r>
    </w:p>
    <w:p w:rsidR="003A457F" w:rsidRDefault="00AB4564" w:rsidP="00266C07">
      <w:pPr>
        <w:spacing w:after="0" w:line="240" w:lineRule="auto"/>
        <w:rPr>
          <w:sz w:val="24"/>
        </w:rPr>
      </w:pPr>
      <w:r>
        <w:rPr>
          <w:sz w:val="24"/>
        </w:rPr>
        <w:t>In preparing this submission, JFA Purple Orange interviewed a number of tenants in community social housing, where the building is owned and managed by a social landlord</w:t>
      </w:r>
      <w:r w:rsidR="00E711C2">
        <w:rPr>
          <w:sz w:val="24"/>
        </w:rPr>
        <w:t xml:space="preserve"> and personal support arrangements are provided independently</w:t>
      </w:r>
      <w:r>
        <w:rPr>
          <w:sz w:val="24"/>
        </w:rPr>
        <w:t xml:space="preserve">. </w:t>
      </w:r>
    </w:p>
    <w:p w:rsidR="00E711C2" w:rsidRPr="00266C07" w:rsidRDefault="00E711C2" w:rsidP="00266C07">
      <w:pPr>
        <w:spacing w:after="0" w:line="240" w:lineRule="auto"/>
        <w:rPr>
          <w:sz w:val="24"/>
        </w:rPr>
      </w:pPr>
    </w:p>
    <w:p w:rsidR="00533F82" w:rsidRDefault="00B16C94" w:rsidP="00266C07">
      <w:pPr>
        <w:spacing w:after="0" w:line="240" w:lineRule="auto"/>
        <w:rPr>
          <w:sz w:val="24"/>
        </w:rPr>
      </w:pPr>
      <w:r>
        <w:rPr>
          <w:sz w:val="24"/>
        </w:rPr>
        <w:t>T</w:t>
      </w:r>
      <w:r w:rsidR="00C13F98" w:rsidRPr="00266C07">
        <w:rPr>
          <w:sz w:val="24"/>
        </w:rPr>
        <w:t>he role</w:t>
      </w:r>
      <w:r w:rsidR="009E3369" w:rsidRPr="00266C07">
        <w:rPr>
          <w:sz w:val="24"/>
        </w:rPr>
        <w:t xml:space="preserve"> of the social landlord involves much more than just providing an affordable "roof"</w:t>
      </w:r>
      <w:r w:rsidR="0085708A">
        <w:rPr>
          <w:sz w:val="24"/>
        </w:rPr>
        <w:t xml:space="preserve"> over people’s heads</w:t>
      </w:r>
      <w:r w:rsidR="009E3369" w:rsidRPr="00266C07">
        <w:rPr>
          <w:sz w:val="24"/>
        </w:rPr>
        <w:t xml:space="preserve"> or a bed to sleep in. Social landlords have a crucial role to play in promoting social inclusion and addressing barriers to accessible, life-enhancing housing; taking a person-centred approach and </w:t>
      </w:r>
      <w:r w:rsidR="0085708A" w:rsidRPr="00244C7B">
        <w:rPr>
          <w:sz w:val="24"/>
        </w:rPr>
        <w:t>enabl</w:t>
      </w:r>
      <w:r w:rsidR="0085708A">
        <w:rPr>
          <w:sz w:val="24"/>
        </w:rPr>
        <w:t>ing</w:t>
      </w:r>
      <w:r w:rsidR="009E3369" w:rsidRPr="00266C07">
        <w:rPr>
          <w:sz w:val="24"/>
        </w:rPr>
        <w:t xml:space="preserve"> tenants living with disability to have peace and comfort, security of tenure, safety and independence in their housing.</w:t>
      </w:r>
      <w:r w:rsidR="00533F82" w:rsidRPr="00266C07">
        <w:rPr>
          <w:rStyle w:val="FootnoteReference"/>
          <w:sz w:val="24"/>
        </w:rPr>
        <w:footnoteReference w:id="24"/>
      </w:r>
      <w:r w:rsidR="00E30572">
        <w:rPr>
          <w:sz w:val="24"/>
        </w:rPr>
        <w:t xml:space="preserve"> </w:t>
      </w:r>
      <w:r w:rsidR="00533F82" w:rsidRPr="00266C07">
        <w:rPr>
          <w:rStyle w:val="FootnoteReference"/>
          <w:sz w:val="24"/>
        </w:rPr>
        <w:footnoteReference w:id="25"/>
      </w:r>
    </w:p>
    <w:p w:rsidR="0085708A" w:rsidRDefault="0085708A" w:rsidP="00266C07">
      <w:pPr>
        <w:spacing w:after="0" w:line="240" w:lineRule="auto"/>
        <w:rPr>
          <w:sz w:val="24"/>
          <w:lang w:val="en"/>
        </w:rPr>
      </w:pPr>
    </w:p>
    <w:p w:rsidR="00AB4564" w:rsidRDefault="00AB4564" w:rsidP="00AB4564">
      <w:pPr>
        <w:spacing w:after="0" w:line="240" w:lineRule="auto"/>
        <w:rPr>
          <w:sz w:val="24"/>
        </w:rPr>
      </w:pPr>
      <w:r>
        <w:rPr>
          <w:sz w:val="24"/>
        </w:rPr>
        <w:t xml:space="preserve">The tenants interviewed had all been part of the </w:t>
      </w:r>
      <w:r w:rsidR="00D759D8">
        <w:rPr>
          <w:sz w:val="24"/>
        </w:rPr>
        <w:t>Younger People in Residential Aged Care</w:t>
      </w:r>
      <w:r w:rsidR="000C1726">
        <w:rPr>
          <w:sz w:val="24"/>
        </w:rPr>
        <w:t xml:space="preserve"> (YPIRAC)</w:t>
      </w:r>
      <w:r w:rsidR="00D759D8">
        <w:rPr>
          <w:sz w:val="24"/>
        </w:rPr>
        <w:t xml:space="preserve"> </w:t>
      </w:r>
      <w:r>
        <w:rPr>
          <w:sz w:val="24"/>
        </w:rPr>
        <w:t xml:space="preserve">program and </w:t>
      </w:r>
      <w:r w:rsidRPr="002B2D15">
        <w:rPr>
          <w:sz w:val="24"/>
        </w:rPr>
        <w:t>had moved from, or had been at risk of admission into, a residential aged care fac</w:t>
      </w:r>
      <w:r>
        <w:rPr>
          <w:sz w:val="24"/>
        </w:rPr>
        <w:t>ility.</w:t>
      </w:r>
      <w:r w:rsidRPr="002B2D15">
        <w:rPr>
          <w:sz w:val="24"/>
        </w:rPr>
        <w:t xml:space="preserve"> </w:t>
      </w:r>
      <w:r>
        <w:rPr>
          <w:sz w:val="24"/>
        </w:rPr>
        <w:t>YPIRAC was</w:t>
      </w:r>
      <w:r w:rsidRPr="00266C07">
        <w:rPr>
          <w:sz w:val="24"/>
        </w:rPr>
        <w:t xml:space="preserve"> a joint Commonwealth, State and Territory Government initiative implemented between 2006 and 2011, which aimed to reduce the number of young people </w:t>
      </w:r>
      <w:r w:rsidR="00A66486">
        <w:rPr>
          <w:sz w:val="24"/>
        </w:rPr>
        <w:t xml:space="preserve">living </w:t>
      </w:r>
      <w:r w:rsidRPr="00266C07">
        <w:rPr>
          <w:sz w:val="24"/>
        </w:rPr>
        <w:t>with disability living in residential aged care facili</w:t>
      </w:r>
      <w:r>
        <w:rPr>
          <w:sz w:val="24"/>
        </w:rPr>
        <w:t>ties</w:t>
      </w:r>
      <w:r w:rsidRPr="00266C07">
        <w:rPr>
          <w:sz w:val="24"/>
        </w:rPr>
        <w:t xml:space="preserve"> throughout Australia.</w:t>
      </w:r>
      <w:r w:rsidRPr="00266C07">
        <w:rPr>
          <w:rStyle w:val="FootnoteReference"/>
          <w:sz w:val="24"/>
        </w:rPr>
        <w:footnoteReference w:id="26"/>
      </w:r>
      <w:r w:rsidRPr="00266C07">
        <w:rPr>
          <w:sz w:val="24"/>
        </w:rPr>
        <w:t xml:space="preserve"> In South Australia, 50 younger people were supported to move from residential age</w:t>
      </w:r>
      <w:r>
        <w:rPr>
          <w:sz w:val="24"/>
        </w:rPr>
        <w:t>d ca</w:t>
      </w:r>
      <w:r w:rsidR="00D759D8">
        <w:rPr>
          <w:sz w:val="24"/>
        </w:rPr>
        <w:t>re under the YPIRAC program</w:t>
      </w:r>
      <w:r>
        <w:rPr>
          <w:sz w:val="24"/>
        </w:rPr>
        <w:t>.</w:t>
      </w:r>
    </w:p>
    <w:p w:rsidR="008B652A" w:rsidRDefault="008B652A" w:rsidP="008B652A">
      <w:pPr>
        <w:spacing w:after="0" w:line="240" w:lineRule="auto"/>
        <w:rPr>
          <w:sz w:val="24"/>
        </w:rPr>
      </w:pPr>
    </w:p>
    <w:p w:rsidR="006B384B" w:rsidRDefault="00D159AC" w:rsidP="008376D9">
      <w:pPr>
        <w:spacing w:after="0" w:line="240" w:lineRule="auto"/>
        <w:rPr>
          <w:sz w:val="24"/>
        </w:rPr>
      </w:pPr>
      <w:r w:rsidRPr="00266C07">
        <w:rPr>
          <w:sz w:val="24"/>
        </w:rPr>
        <w:t>The</w:t>
      </w:r>
      <w:r w:rsidR="00AB4564">
        <w:rPr>
          <w:sz w:val="24"/>
        </w:rPr>
        <w:t xml:space="preserve"> tenants’</w:t>
      </w:r>
      <w:r w:rsidRPr="00266C07">
        <w:rPr>
          <w:sz w:val="24"/>
        </w:rPr>
        <w:t xml:space="preserve"> comments</w:t>
      </w:r>
      <w:r w:rsidR="002F1E95" w:rsidRPr="00266C07">
        <w:rPr>
          <w:sz w:val="24"/>
        </w:rPr>
        <w:t xml:space="preserve"> </w:t>
      </w:r>
      <w:r w:rsidR="006C471F" w:rsidRPr="00266C07">
        <w:rPr>
          <w:sz w:val="24"/>
        </w:rPr>
        <w:t>highlight the fundamental human need, and right, to have au</w:t>
      </w:r>
      <w:r w:rsidR="00E3022D" w:rsidRPr="00266C07">
        <w:rPr>
          <w:sz w:val="24"/>
        </w:rPr>
        <w:t xml:space="preserve">thorship over </w:t>
      </w:r>
      <w:r w:rsidR="00E77D4A">
        <w:rPr>
          <w:sz w:val="24"/>
        </w:rPr>
        <w:t>our</w:t>
      </w:r>
      <w:r w:rsidR="00E77D4A" w:rsidRPr="00266C07">
        <w:rPr>
          <w:sz w:val="24"/>
        </w:rPr>
        <w:t xml:space="preserve"> </w:t>
      </w:r>
      <w:r w:rsidR="00E3022D" w:rsidRPr="00266C07">
        <w:rPr>
          <w:sz w:val="24"/>
        </w:rPr>
        <w:t xml:space="preserve">own lives, </w:t>
      </w:r>
      <w:r w:rsidR="006C471F" w:rsidRPr="00266C07">
        <w:rPr>
          <w:sz w:val="24"/>
        </w:rPr>
        <w:t xml:space="preserve">to be able to exercise choice and control, and to make </w:t>
      </w:r>
      <w:r w:rsidR="006C471F" w:rsidRPr="002B2D15">
        <w:rPr>
          <w:sz w:val="24"/>
        </w:rPr>
        <w:t xml:space="preserve">daily decisions </w:t>
      </w:r>
      <w:r w:rsidR="00CF42F3" w:rsidRPr="002B2D15">
        <w:rPr>
          <w:sz w:val="24"/>
        </w:rPr>
        <w:t xml:space="preserve">about food, activities, and social contact that </w:t>
      </w:r>
      <w:r w:rsidR="002F1E95" w:rsidRPr="002B2D15">
        <w:rPr>
          <w:sz w:val="24"/>
        </w:rPr>
        <w:t>most of us take</w:t>
      </w:r>
      <w:r w:rsidRPr="002B2D15">
        <w:rPr>
          <w:sz w:val="24"/>
        </w:rPr>
        <w:t xml:space="preserve"> for granted</w:t>
      </w:r>
      <w:r w:rsidR="00525BE0" w:rsidRPr="002B2D15">
        <w:rPr>
          <w:sz w:val="24"/>
        </w:rPr>
        <w:t>.</w:t>
      </w:r>
      <w:r w:rsidR="00FD058B" w:rsidRPr="002B2D15">
        <w:rPr>
          <w:rStyle w:val="FootnoteReference"/>
          <w:sz w:val="24"/>
        </w:rPr>
        <w:t xml:space="preserve"> </w:t>
      </w:r>
      <w:r w:rsidR="00DB09D4">
        <w:rPr>
          <w:sz w:val="24"/>
        </w:rPr>
        <w:br/>
      </w:r>
    </w:p>
    <w:p w:rsidR="00A66486" w:rsidRDefault="00A66486" w:rsidP="002B2D15">
      <w:pPr>
        <w:spacing w:after="0" w:line="240" w:lineRule="auto"/>
        <w:rPr>
          <w:sz w:val="24"/>
        </w:rPr>
      </w:pPr>
      <w:r>
        <w:rPr>
          <w:sz w:val="24"/>
        </w:rPr>
        <w:t>These are some of their comments:</w:t>
      </w:r>
    </w:p>
    <w:p w:rsidR="006B384B" w:rsidRPr="002B2D15" w:rsidRDefault="006B384B" w:rsidP="002B2D15">
      <w:pPr>
        <w:spacing w:after="0" w:line="240" w:lineRule="auto"/>
        <w:rPr>
          <w:sz w:val="24"/>
        </w:rPr>
      </w:pPr>
    </w:p>
    <w:p w:rsidR="00C8000F" w:rsidRPr="002B2D15" w:rsidRDefault="00AB4564" w:rsidP="00FE5099">
      <w:pPr>
        <w:spacing w:after="0" w:line="360" w:lineRule="auto"/>
        <w:ind w:left="567" w:right="567"/>
        <w:rPr>
          <w:sz w:val="24"/>
        </w:rPr>
      </w:pPr>
      <w:r w:rsidRPr="002B2D15" w:rsidDel="00AB4564">
        <w:rPr>
          <w:sz w:val="24"/>
        </w:rPr>
        <w:t xml:space="preserve"> </w:t>
      </w:r>
      <w:r w:rsidR="00C8000F" w:rsidRPr="002B2D15">
        <w:rPr>
          <w:sz w:val="24"/>
        </w:rPr>
        <w:t xml:space="preserve">“My unit is only a street </w:t>
      </w:r>
      <w:r w:rsidR="00A77296" w:rsidRPr="002B2D15">
        <w:rPr>
          <w:sz w:val="24"/>
        </w:rPr>
        <w:t xml:space="preserve">away from the main street.  </w:t>
      </w:r>
      <w:r w:rsidR="00C8000F" w:rsidRPr="002B2D15">
        <w:rPr>
          <w:sz w:val="24"/>
        </w:rPr>
        <w:t>l drive my electric wheelcha</w:t>
      </w:r>
      <w:r w:rsidR="00A77296" w:rsidRPr="002B2D15">
        <w:rPr>
          <w:sz w:val="24"/>
        </w:rPr>
        <w:t xml:space="preserve">ir there and </w:t>
      </w:r>
      <w:r w:rsidR="00C8000F" w:rsidRPr="002B2D15">
        <w:rPr>
          <w:sz w:val="24"/>
        </w:rPr>
        <w:t>access the whole tow</w:t>
      </w:r>
      <w:r w:rsidR="00E77D4A" w:rsidRPr="002B2D15">
        <w:rPr>
          <w:sz w:val="24"/>
        </w:rPr>
        <w:t xml:space="preserve">n … </w:t>
      </w:r>
      <w:r w:rsidR="00C8000F" w:rsidRPr="002B2D15">
        <w:rPr>
          <w:sz w:val="24"/>
        </w:rPr>
        <w:t>Such choice, such exquisite freedom.”</w:t>
      </w:r>
    </w:p>
    <w:p w:rsidR="00C8000F" w:rsidRPr="0054393D" w:rsidRDefault="00C8000F" w:rsidP="00FE5099">
      <w:pPr>
        <w:spacing w:after="0" w:line="360" w:lineRule="auto"/>
        <w:ind w:left="567" w:right="567"/>
        <w:rPr>
          <w:rStyle w:val="FootnoteReference"/>
          <w:sz w:val="24"/>
        </w:rPr>
      </w:pPr>
      <w:r w:rsidRPr="002B2D15">
        <w:rPr>
          <w:sz w:val="24"/>
        </w:rPr>
        <w:t xml:space="preserve">“I have achieved many things since moving into my home – </w:t>
      </w:r>
      <w:r w:rsidR="00A77296" w:rsidRPr="002B2D15">
        <w:rPr>
          <w:sz w:val="24"/>
        </w:rPr>
        <w:t xml:space="preserve">I </w:t>
      </w:r>
      <w:r w:rsidRPr="002B2D15">
        <w:rPr>
          <w:sz w:val="24"/>
        </w:rPr>
        <w:t>access local transport, work one day</w:t>
      </w:r>
      <w:r w:rsidR="000B4A99" w:rsidRPr="002B2D15">
        <w:rPr>
          <w:sz w:val="24"/>
        </w:rPr>
        <w:t xml:space="preserve"> </w:t>
      </w:r>
      <w:r w:rsidRPr="002B2D15">
        <w:rPr>
          <w:sz w:val="24"/>
        </w:rPr>
        <w:t>a week</w:t>
      </w:r>
      <w:r w:rsidR="00C34CAA" w:rsidRPr="002B2D15">
        <w:rPr>
          <w:sz w:val="24"/>
        </w:rPr>
        <w:t xml:space="preserve">; gaining </w:t>
      </w:r>
      <w:r w:rsidR="00D6166C" w:rsidRPr="002B2D15">
        <w:rPr>
          <w:sz w:val="24"/>
        </w:rPr>
        <w:t>self-control</w:t>
      </w:r>
      <w:r w:rsidR="00C34CAA" w:rsidRPr="002B2D15">
        <w:rPr>
          <w:sz w:val="24"/>
        </w:rPr>
        <w:t xml:space="preserve"> and independence.”</w:t>
      </w:r>
      <w:r w:rsidR="00555B04" w:rsidRPr="002B2D15">
        <w:rPr>
          <w:rStyle w:val="FootnoteReference"/>
          <w:sz w:val="24"/>
        </w:rPr>
        <w:t xml:space="preserve"> </w:t>
      </w:r>
    </w:p>
    <w:p w:rsidR="00AB4564" w:rsidRPr="002B2D15" w:rsidRDefault="00AB4564" w:rsidP="00FE5099">
      <w:pPr>
        <w:spacing w:after="0" w:line="360" w:lineRule="auto"/>
        <w:ind w:left="567" w:right="567"/>
        <w:rPr>
          <w:sz w:val="24"/>
        </w:rPr>
      </w:pPr>
      <w:r w:rsidRPr="002B2D15">
        <w:rPr>
          <w:sz w:val="24"/>
        </w:rPr>
        <w:t>“I can have my grandson over to stay with me.”</w:t>
      </w:r>
    </w:p>
    <w:p w:rsidR="00FD058B" w:rsidRPr="002B2D15" w:rsidRDefault="000A19EA" w:rsidP="00FE5099">
      <w:pPr>
        <w:spacing w:after="0" w:line="360" w:lineRule="auto"/>
        <w:ind w:left="567" w:right="567"/>
        <w:rPr>
          <w:sz w:val="24"/>
        </w:rPr>
      </w:pPr>
      <w:r w:rsidRPr="002B2D15">
        <w:rPr>
          <w:sz w:val="24"/>
        </w:rPr>
        <w:lastRenderedPageBreak/>
        <w:t>“</w:t>
      </w:r>
      <w:r w:rsidR="00FD058B" w:rsidRPr="002B2D15">
        <w:rPr>
          <w:sz w:val="24"/>
        </w:rPr>
        <w:t xml:space="preserve">I’ve got my independence – with household tasks, shopping, volunteering </w:t>
      </w:r>
      <w:r w:rsidR="002E13CB">
        <w:rPr>
          <w:sz w:val="24"/>
        </w:rPr>
        <w:t>three</w:t>
      </w:r>
      <w:r w:rsidR="00FD058B" w:rsidRPr="002B2D15">
        <w:rPr>
          <w:sz w:val="24"/>
        </w:rPr>
        <w:t xml:space="preserve"> days a week locally.</w:t>
      </w:r>
      <w:r w:rsidRPr="002B2D15">
        <w:rPr>
          <w:sz w:val="24"/>
        </w:rPr>
        <w:t>”</w:t>
      </w:r>
      <w:r w:rsidR="00DF2983" w:rsidRPr="00DF2983">
        <w:rPr>
          <w:rStyle w:val="FootnoteReference"/>
          <w:sz w:val="24"/>
        </w:rPr>
        <w:t xml:space="preserve"> </w:t>
      </w:r>
      <w:r w:rsidR="00DF2983" w:rsidRPr="002B2D15">
        <w:rPr>
          <w:rStyle w:val="FootnoteReference"/>
          <w:sz w:val="24"/>
        </w:rPr>
        <w:footnoteReference w:id="27"/>
      </w:r>
    </w:p>
    <w:p w:rsidR="00EA75F1" w:rsidRPr="002B2D15" w:rsidRDefault="00AB4564" w:rsidP="00FE5099">
      <w:pPr>
        <w:spacing w:after="0" w:line="360" w:lineRule="auto"/>
        <w:ind w:left="567" w:right="567"/>
        <w:rPr>
          <w:sz w:val="24"/>
        </w:rPr>
      </w:pPr>
      <w:r w:rsidRPr="002B2D15" w:rsidDel="00AB4564">
        <w:rPr>
          <w:sz w:val="24"/>
        </w:rPr>
        <w:t xml:space="preserve"> </w:t>
      </w:r>
      <w:r w:rsidR="000A19EA" w:rsidRPr="002B2D15">
        <w:rPr>
          <w:sz w:val="24"/>
        </w:rPr>
        <w:t>“You c</w:t>
      </w:r>
      <w:r w:rsidR="00EA75F1" w:rsidRPr="002B2D15">
        <w:rPr>
          <w:sz w:val="24"/>
        </w:rPr>
        <w:t>an come home later [at night]</w:t>
      </w:r>
      <w:r w:rsidR="004408C6" w:rsidRPr="002B2D15">
        <w:rPr>
          <w:sz w:val="24"/>
        </w:rPr>
        <w:t>. Just organise it with staff. It’s flexible.</w:t>
      </w:r>
      <w:r w:rsidR="000A19EA" w:rsidRPr="002B2D15">
        <w:rPr>
          <w:sz w:val="24"/>
        </w:rPr>
        <w:t>”</w:t>
      </w:r>
    </w:p>
    <w:p w:rsidR="004408C6" w:rsidRPr="002B2D15" w:rsidRDefault="00345C45" w:rsidP="00FE5099">
      <w:pPr>
        <w:spacing w:after="0" w:line="360" w:lineRule="auto"/>
        <w:ind w:left="567" w:right="567"/>
        <w:rPr>
          <w:sz w:val="24"/>
        </w:rPr>
      </w:pPr>
      <w:r w:rsidRPr="002B2D15">
        <w:rPr>
          <w:sz w:val="24"/>
        </w:rPr>
        <w:t>“</w:t>
      </w:r>
      <w:r w:rsidR="004408C6" w:rsidRPr="002B2D15">
        <w:rPr>
          <w:sz w:val="24"/>
        </w:rPr>
        <w:t>This place is free-running; it’s only a rental but feels like ownership. It’s very comfortable and staff are all pretty good (nobody could be perfect!)</w:t>
      </w:r>
      <w:r w:rsidRPr="002B2D15">
        <w:rPr>
          <w:sz w:val="24"/>
        </w:rPr>
        <w:t>”</w:t>
      </w:r>
    </w:p>
    <w:p w:rsidR="004408C6" w:rsidRPr="002B2D15" w:rsidRDefault="00345C45" w:rsidP="00FE5099">
      <w:pPr>
        <w:spacing w:after="0" w:line="360" w:lineRule="auto"/>
        <w:ind w:left="567" w:right="567"/>
        <w:rPr>
          <w:sz w:val="24"/>
        </w:rPr>
      </w:pPr>
      <w:r w:rsidRPr="002B2D15">
        <w:rPr>
          <w:sz w:val="24"/>
        </w:rPr>
        <w:t>“</w:t>
      </w:r>
      <w:r w:rsidR="004408C6" w:rsidRPr="002B2D15">
        <w:rPr>
          <w:sz w:val="24"/>
        </w:rPr>
        <w:t>I’m more relaxed knowing my family can be around all the time</w:t>
      </w:r>
      <w:r w:rsidRPr="002B2D15">
        <w:rPr>
          <w:sz w:val="24"/>
        </w:rPr>
        <w:t>.”</w:t>
      </w:r>
    </w:p>
    <w:p w:rsidR="008C662D" w:rsidRPr="002B2D15" w:rsidRDefault="00345C45" w:rsidP="00FE5099">
      <w:pPr>
        <w:spacing w:after="0" w:line="360" w:lineRule="auto"/>
        <w:ind w:left="567" w:right="567"/>
        <w:rPr>
          <w:sz w:val="24"/>
        </w:rPr>
      </w:pPr>
      <w:r w:rsidRPr="002B2D15">
        <w:rPr>
          <w:sz w:val="24"/>
        </w:rPr>
        <w:t>“</w:t>
      </w:r>
      <w:r w:rsidR="004408C6" w:rsidRPr="002B2D15">
        <w:rPr>
          <w:sz w:val="24"/>
        </w:rPr>
        <w:t>I have increased confidence.</w:t>
      </w:r>
      <w:r w:rsidRPr="002B2D15">
        <w:rPr>
          <w:sz w:val="24"/>
        </w:rPr>
        <w:t>”</w:t>
      </w:r>
    </w:p>
    <w:p w:rsidR="004408C6" w:rsidRDefault="008C662D" w:rsidP="00FE5099">
      <w:pPr>
        <w:spacing w:after="0" w:line="360" w:lineRule="auto"/>
        <w:ind w:left="567" w:right="567"/>
        <w:rPr>
          <w:sz w:val="24"/>
        </w:rPr>
      </w:pPr>
      <w:r w:rsidRPr="002B2D15">
        <w:rPr>
          <w:sz w:val="24"/>
        </w:rPr>
        <w:t>“Living in a supported unit has given me my only opportunity to ever have my own home with my limited abilities and financial constraints.  It's given me the room necessary to grow outwards towards a fuller life should my health allow that. It's given me hope and an ultimate goal of independence to look forward to achieving. Without the hope of a better life I would find no point in continuing on.”</w:t>
      </w:r>
      <w:r w:rsidR="007A13E7" w:rsidRPr="002B2D15">
        <w:rPr>
          <w:rStyle w:val="FootnoteReference"/>
          <w:sz w:val="24"/>
        </w:rPr>
        <w:t xml:space="preserve"> </w:t>
      </w:r>
      <w:r w:rsidR="007A13E7" w:rsidRPr="002B2D15">
        <w:rPr>
          <w:rStyle w:val="FootnoteReference"/>
          <w:sz w:val="24"/>
        </w:rPr>
        <w:footnoteReference w:id="28"/>
      </w:r>
    </w:p>
    <w:p w:rsidR="00152DE1" w:rsidRPr="0054393D" w:rsidRDefault="00152DE1" w:rsidP="00FB7414">
      <w:pPr>
        <w:spacing w:after="0" w:line="360" w:lineRule="auto"/>
        <w:ind w:left="567" w:right="567"/>
        <w:rPr>
          <w:sz w:val="24"/>
        </w:rPr>
      </w:pPr>
    </w:p>
    <w:p w:rsidR="00C34CAA" w:rsidRDefault="006A0DA6" w:rsidP="00244C7B">
      <w:pPr>
        <w:pStyle w:val="Heading3"/>
        <w:numPr>
          <w:ilvl w:val="0"/>
          <w:numId w:val="0"/>
        </w:numPr>
        <w:ind w:left="720"/>
      </w:pPr>
      <w:bookmarkStart w:id="21" w:name="_Toc412197795"/>
      <w:r>
        <w:t>3</w:t>
      </w:r>
      <w:r w:rsidR="0027466B">
        <w:t>.</w:t>
      </w:r>
      <w:r w:rsidR="005206AC">
        <w:t>3.6</w:t>
      </w:r>
      <w:r w:rsidR="007D0503">
        <w:t>.</w:t>
      </w:r>
      <w:r w:rsidR="0027466B">
        <w:tab/>
      </w:r>
      <w:r w:rsidR="00E3022D">
        <w:t xml:space="preserve">Separation of </w:t>
      </w:r>
      <w:r w:rsidR="00700FF5">
        <w:t xml:space="preserve">accommodation </w:t>
      </w:r>
      <w:r w:rsidR="00E3022D">
        <w:t xml:space="preserve">and </w:t>
      </w:r>
      <w:r w:rsidR="00700FF5">
        <w:t>s</w:t>
      </w:r>
      <w:r w:rsidR="00E3022D">
        <w:t>upport</w:t>
      </w:r>
      <w:bookmarkEnd w:id="21"/>
      <w:r w:rsidR="002200B9">
        <w:br/>
      </w:r>
    </w:p>
    <w:p w:rsidR="008226AF" w:rsidRDefault="00D759D8" w:rsidP="0054393D">
      <w:pPr>
        <w:spacing w:after="0" w:line="240" w:lineRule="auto"/>
        <w:rPr>
          <w:sz w:val="24"/>
        </w:rPr>
      </w:pPr>
      <w:r>
        <w:rPr>
          <w:sz w:val="24"/>
        </w:rPr>
        <w:t>A</w:t>
      </w:r>
      <w:r w:rsidR="005E1134" w:rsidRPr="0054393D">
        <w:rPr>
          <w:sz w:val="24"/>
        </w:rPr>
        <w:t xml:space="preserve"> key pr</w:t>
      </w:r>
      <w:r>
        <w:rPr>
          <w:sz w:val="24"/>
        </w:rPr>
        <w:t xml:space="preserve">inciple to be considered </w:t>
      </w:r>
      <w:r w:rsidR="00DF2983">
        <w:rPr>
          <w:sz w:val="24"/>
        </w:rPr>
        <w:t xml:space="preserve">for, and </w:t>
      </w:r>
      <w:r>
        <w:rPr>
          <w:sz w:val="24"/>
        </w:rPr>
        <w:t>by</w:t>
      </w:r>
      <w:r w:rsidR="00DF2983">
        <w:rPr>
          <w:sz w:val="24"/>
        </w:rPr>
        <w:t>,</w:t>
      </w:r>
      <w:r w:rsidR="008226AF" w:rsidRPr="0054393D">
        <w:rPr>
          <w:sz w:val="24"/>
        </w:rPr>
        <w:t xml:space="preserve"> </w:t>
      </w:r>
      <w:r w:rsidR="005E1134" w:rsidRPr="0054393D">
        <w:rPr>
          <w:sz w:val="24"/>
        </w:rPr>
        <w:t xml:space="preserve">young people </w:t>
      </w:r>
      <w:r>
        <w:rPr>
          <w:sz w:val="24"/>
        </w:rPr>
        <w:t xml:space="preserve">living </w:t>
      </w:r>
      <w:r w:rsidR="005E1134" w:rsidRPr="0054393D">
        <w:rPr>
          <w:sz w:val="24"/>
        </w:rPr>
        <w:t xml:space="preserve">with significant disability </w:t>
      </w:r>
      <w:r>
        <w:rPr>
          <w:sz w:val="24"/>
        </w:rPr>
        <w:t xml:space="preserve">is the separation of accommodation and support. </w:t>
      </w:r>
      <w:r w:rsidR="008F0AE8" w:rsidRPr="0054393D">
        <w:rPr>
          <w:sz w:val="24"/>
        </w:rPr>
        <w:t xml:space="preserve">A building may be physically suitable, but without the right support, provided in the right way, at the right time, people living with significant disability cannot lead independent, fulfilling lives, where they </w:t>
      </w:r>
      <w:r w:rsidR="00152DE1">
        <w:rPr>
          <w:sz w:val="24"/>
        </w:rPr>
        <w:t>are</w:t>
      </w:r>
      <w:r w:rsidR="008F0AE8" w:rsidRPr="0054393D">
        <w:rPr>
          <w:sz w:val="24"/>
        </w:rPr>
        <w:t xml:space="preserve"> connected and involved in the community. </w:t>
      </w:r>
      <w:r>
        <w:rPr>
          <w:sz w:val="24"/>
        </w:rPr>
        <w:t>T</w:t>
      </w:r>
      <w:r w:rsidRPr="0054393D">
        <w:rPr>
          <w:sz w:val="24"/>
        </w:rPr>
        <w:t>he principle of separating housing from personal support arrangements allows people to change either their housing or personal support without affecting the other</w:t>
      </w:r>
      <w:r w:rsidR="005A1D95">
        <w:rPr>
          <w:sz w:val="24"/>
        </w:rPr>
        <w:t>.</w:t>
      </w:r>
    </w:p>
    <w:p w:rsidR="00745024" w:rsidRPr="0054393D" w:rsidRDefault="00745024" w:rsidP="0054393D">
      <w:pPr>
        <w:spacing w:after="0" w:line="240" w:lineRule="auto"/>
        <w:rPr>
          <w:sz w:val="24"/>
        </w:rPr>
      </w:pPr>
    </w:p>
    <w:p w:rsidR="00960C2E" w:rsidRDefault="00960C2E" w:rsidP="0054393D">
      <w:pPr>
        <w:spacing w:after="0" w:line="240" w:lineRule="auto"/>
        <w:rPr>
          <w:sz w:val="24"/>
        </w:rPr>
      </w:pPr>
      <w:r w:rsidRPr="0054393D">
        <w:rPr>
          <w:sz w:val="24"/>
        </w:rPr>
        <w:t>One of the tenants who had moved from a residential aged care facility into the community summed up the importance of</w:t>
      </w:r>
      <w:r w:rsidR="00C51153">
        <w:rPr>
          <w:sz w:val="24"/>
        </w:rPr>
        <w:t xml:space="preserve"> having</w:t>
      </w:r>
      <w:r w:rsidRPr="0054393D">
        <w:rPr>
          <w:sz w:val="24"/>
        </w:rPr>
        <w:t xml:space="preserve"> the right support staff: </w:t>
      </w:r>
    </w:p>
    <w:p w:rsidR="00745024" w:rsidRPr="0054393D" w:rsidRDefault="00745024" w:rsidP="0054393D">
      <w:pPr>
        <w:spacing w:after="0" w:line="240" w:lineRule="auto"/>
        <w:rPr>
          <w:sz w:val="24"/>
        </w:rPr>
      </w:pPr>
    </w:p>
    <w:p w:rsidR="00960C2E" w:rsidRDefault="00960C2E" w:rsidP="0054393D">
      <w:pPr>
        <w:spacing w:after="0" w:line="240" w:lineRule="auto"/>
        <w:jc w:val="center"/>
        <w:rPr>
          <w:b/>
          <w:sz w:val="24"/>
        </w:rPr>
      </w:pPr>
      <w:r w:rsidRPr="0054393D">
        <w:rPr>
          <w:b/>
          <w:sz w:val="24"/>
        </w:rPr>
        <w:t>ME + STAFF = INDEPENDENCE</w:t>
      </w:r>
    </w:p>
    <w:p w:rsidR="00745024" w:rsidRPr="0054393D" w:rsidRDefault="00745024" w:rsidP="0054393D">
      <w:pPr>
        <w:spacing w:after="0" w:line="240" w:lineRule="auto"/>
        <w:jc w:val="center"/>
        <w:rPr>
          <w:b/>
          <w:sz w:val="24"/>
        </w:rPr>
      </w:pPr>
    </w:p>
    <w:p w:rsidR="009E3369" w:rsidRDefault="00960C2E" w:rsidP="0054393D">
      <w:pPr>
        <w:spacing w:after="0" w:line="240" w:lineRule="auto"/>
        <w:rPr>
          <w:sz w:val="24"/>
        </w:rPr>
      </w:pPr>
      <w:r w:rsidRPr="0054393D">
        <w:rPr>
          <w:sz w:val="24"/>
        </w:rPr>
        <w:t xml:space="preserve">Staffing is a vital support for people living with </w:t>
      </w:r>
      <w:r w:rsidR="00B02F23" w:rsidRPr="0054393D">
        <w:rPr>
          <w:sz w:val="24"/>
        </w:rPr>
        <w:t>disability;</w:t>
      </w:r>
      <w:r w:rsidRPr="0054393D">
        <w:rPr>
          <w:sz w:val="24"/>
        </w:rPr>
        <w:t xml:space="preserve"> </w:t>
      </w:r>
      <w:r w:rsidR="00A57037">
        <w:rPr>
          <w:sz w:val="24"/>
        </w:rPr>
        <w:t>however t</w:t>
      </w:r>
      <w:r w:rsidR="009E3369" w:rsidRPr="0054393D">
        <w:rPr>
          <w:sz w:val="24"/>
        </w:rPr>
        <w:t xml:space="preserve">here </w:t>
      </w:r>
      <w:r w:rsidR="001923FE" w:rsidRPr="0054393D">
        <w:rPr>
          <w:sz w:val="24"/>
        </w:rPr>
        <w:t>are</w:t>
      </w:r>
      <w:r w:rsidR="009E3369" w:rsidRPr="0054393D">
        <w:rPr>
          <w:sz w:val="24"/>
        </w:rPr>
        <w:t xml:space="preserve"> some risks to the support relationship if staff </w:t>
      </w:r>
      <w:r w:rsidR="00A80CB5">
        <w:rPr>
          <w:sz w:val="24"/>
        </w:rPr>
        <w:t>fail to</w:t>
      </w:r>
      <w:r w:rsidR="00A80CB5" w:rsidRPr="0054393D">
        <w:rPr>
          <w:sz w:val="24"/>
        </w:rPr>
        <w:t xml:space="preserve"> </w:t>
      </w:r>
      <w:r w:rsidR="009E3369" w:rsidRPr="0054393D">
        <w:rPr>
          <w:sz w:val="24"/>
        </w:rPr>
        <w:t xml:space="preserve">respect the resident’s home as a home, not a workplace.  </w:t>
      </w:r>
    </w:p>
    <w:p w:rsidR="00992B2B" w:rsidRPr="0054393D" w:rsidRDefault="00992B2B" w:rsidP="0054393D">
      <w:pPr>
        <w:spacing w:after="0" w:line="240" w:lineRule="auto"/>
        <w:rPr>
          <w:sz w:val="24"/>
        </w:rPr>
      </w:pPr>
    </w:p>
    <w:p w:rsidR="009E3369" w:rsidRDefault="009E3369" w:rsidP="0054393D">
      <w:pPr>
        <w:spacing w:after="0" w:line="240" w:lineRule="auto"/>
        <w:rPr>
          <w:sz w:val="24"/>
        </w:rPr>
      </w:pPr>
      <w:r w:rsidRPr="0054393D">
        <w:rPr>
          <w:sz w:val="24"/>
        </w:rPr>
        <w:lastRenderedPageBreak/>
        <w:t xml:space="preserve">One tenant and family member commented: </w:t>
      </w:r>
    </w:p>
    <w:p w:rsidR="00745024" w:rsidRPr="0054393D" w:rsidRDefault="00745024" w:rsidP="0054393D">
      <w:pPr>
        <w:spacing w:after="0" w:line="240" w:lineRule="auto"/>
        <w:rPr>
          <w:sz w:val="24"/>
        </w:rPr>
      </w:pPr>
    </w:p>
    <w:p w:rsidR="009E3369" w:rsidRPr="0054393D" w:rsidRDefault="009E3369" w:rsidP="008376D9">
      <w:pPr>
        <w:spacing w:after="0" w:line="360" w:lineRule="auto"/>
        <w:ind w:left="567" w:right="567"/>
        <w:rPr>
          <w:sz w:val="24"/>
        </w:rPr>
      </w:pPr>
      <w:r w:rsidRPr="0054393D">
        <w:rPr>
          <w:sz w:val="24"/>
        </w:rPr>
        <w:t>“Staff all need to be on the same page. They need to understand that it</w:t>
      </w:r>
      <w:r w:rsidR="00C51153">
        <w:rPr>
          <w:sz w:val="24"/>
        </w:rPr>
        <w:t>’</w:t>
      </w:r>
      <w:r w:rsidRPr="0054393D">
        <w:rPr>
          <w:sz w:val="24"/>
        </w:rPr>
        <w:t>s</w:t>
      </w:r>
      <w:r w:rsidR="00C51153">
        <w:rPr>
          <w:sz w:val="24"/>
        </w:rPr>
        <w:t xml:space="preserve"> the</w:t>
      </w:r>
      <w:r w:rsidRPr="0054393D">
        <w:rPr>
          <w:sz w:val="24"/>
        </w:rPr>
        <w:t xml:space="preserve"> [tenants] unit, not just a unit for care – it’s the person’s home not a staff workplace.”</w:t>
      </w:r>
    </w:p>
    <w:p w:rsidR="00745024" w:rsidRPr="0054393D" w:rsidRDefault="00745024" w:rsidP="0054393D">
      <w:pPr>
        <w:spacing w:after="0" w:line="240" w:lineRule="auto"/>
        <w:ind w:left="720"/>
        <w:rPr>
          <w:i/>
          <w:sz w:val="24"/>
        </w:rPr>
      </w:pPr>
    </w:p>
    <w:p w:rsidR="009A1984" w:rsidRPr="009A1984" w:rsidRDefault="009A1984" w:rsidP="0054393D">
      <w:pPr>
        <w:spacing w:after="0" w:line="240" w:lineRule="auto"/>
      </w:pPr>
    </w:p>
    <w:p w:rsidR="00745024" w:rsidRDefault="00745024">
      <w:pPr>
        <w:rPr>
          <w:rFonts w:cstheme="minorHAnsi"/>
          <w:b/>
          <w:color w:val="522E91"/>
          <w:sz w:val="32"/>
          <w:szCs w:val="32"/>
        </w:rPr>
      </w:pPr>
    </w:p>
    <w:p w:rsidR="00032809" w:rsidRDefault="00032809">
      <w:pPr>
        <w:rPr>
          <w:rFonts w:cstheme="minorHAnsi"/>
          <w:b/>
          <w:color w:val="522E91"/>
          <w:sz w:val="32"/>
          <w:szCs w:val="32"/>
        </w:rPr>
      </w:pPr>
      <w:r>
        <w:br w:type="page"/>
      </w:r>
    </w:p>
    <w:p w:rsidR="008B50E9" w:rsidRDefault="00C23C74" w:rsidP="00244C7B">
      <w:pPr>
        <w:pStyle w:val="Heading1"/>
      </w:pPr>
      <w:bookmarkStart w:id="22" w:name="_Toc412197796"/>
      <w:r>
        <w:lastRenderedPageBreak/>
        <w:t>Conclusion</w:t>
      </w:r>
      <w:bookmarkEnd w:id="22"/>
      <w:r w:rsidR="001C3F43">
        <w:br/>
      </w:r>
    </w:p>
    <w:p w:rsidR="00DD6D7F" w:rsidRDefault="007063CB" w:rsidP="0054393D">
      <w:pPr>
        <w:spacing w:after="0" w:line="240" w:lineRule="auto"/>
        <w:rPr>
          <w:rFonts w:cstheme="minorHAnsi"/>
          <w:sz w:val="24"/>
          <w:lang w:val="en-US"/>
        </w:rPr>
      </w:pPr>
      <w:r w:rsidRPr="0054393D">
        <w:rPr>
          <w:rFonts w:cstheme="minorHAnsi"/>
          <w:sz w:val="24"/>
          <w:lang w:val="en-US"/>
        </w:rPr>
        <w:t xml:space="preserve">Many of the elements of a good life involve a person taking </w:t>
      </w:r>
      <w:r w:rsidR="00F810FA">
        <w:rPr>
          <w:rFonts w:cstheme="minorHAnsi"/>
          <w:sz w:val="24"/>
          <w:lang w:val="en-US"/>
        </w:rPr>
        <w:t xml:space="preserve">up </w:t>
      </w:r>
      <w:r w:rsidRPr="0054393D">
        <w:rPr>
          <w:rFonts w:cstheme="minorHAnsi"/>
          <w:sz w:val="24"/>
          <w:lang w:val="en-US"/>
        </w:rPr>
        <w:t xml:space="preserve">active roles which are meaningful to the </w:t>
      </w:r>
      <w:r w:rsidR="000430D0">
        <w:rPr>
          <w:rFonts w:cstheme="minorHAnsi"/>
          <w:sz w:val="24"/>
          <w:lang w:val="en-US"/>
        </w:rPr>
        <w:t>individual</w:t>
      </w:r>
      <w:r w:rsidR="000430D0" w:rsidRPr="0054393D">
        <w:rPr>
          <w:rFonts w:cstheme="minorHAnsi"/>
          <w:sz w:val="24"/>
          <w:lang w:val="en-US"/>
        </w:rPr>
        <w:t xml:space="preserve"> </w:t>
      </w:r>
      <w:r w:rsidRPr="0054393D">
        <w:rPr>
          <w:rFonts w:cstheme="minorHAnsi"/>
          <w:sz w:val="24"/>
          <w:lang w:val="en-US"/>
        </w:rPr>
        <w:t>and will be valued by other people; collectively these Citizenhood roles help an individual find their valued place in the community.</w:t>
      </w:r>
      <w:r w:rsidR="00041DCE">
        <w:rPr>
          <w:rFonts w:cstheme="minorHAnsi"/>
          <w:sz w:val="24"/>
          <w:lang w:val="en-US"/>
        </w:rPr>
        <w:t xml:space="preserve"> </w:t>
      </w:r>
      <w:r w:rsidRPr="0054393D">
        <w:rPr>
          <w:rFonts w:cstheme="minorHAnsi"/>
          <w:sz w:val="24"/>
          <w:lang w:val="en-US"/>
        </w:rPr>
        <w:t>Young people</w:t>
      </w:r>
      <w:r w:rsidRPr="0054393D">
        <w:rPr>
          <w:sz w:val="24"/>
        </w:rPr>
        <w:t xml:space="preserve"> </w:t>
      </w:r>
      <w:r w:rsidR="00AB4564">
        <w:rPr>
          <w:sz w:val="24"/>
        </w:rPr>
        <w:t>living with significant disabilit</w:t>
      </w:r>
      <w:r w:rsidR="00F810FA">
        <w:rPr>
          <w:sz w:val="24"/>
        </w:rPr>
        <w:t>y</w:t>
      </w:r>
      <w:r w:rsidR="00AB4564">
        <w:rPr>
          <w:sz w:val="24"/>
        </w:rPr>
        <w:t xml:space="preserve"> </w:t>
      </w:r>
      <w:r w:rsidRPr="0054393D">
        <w:rPr>
          <w:rFonts w:cstheme="minorHAnsi"/>
          <w:sz w:val="24"/>
          <w:lang w:val="en-US"/>
        </w:rPr>
        <w:t xml:space="preserve">need a range of creative and innovative housing solutions to enable </w:t>
      </w:r>
      <w:r w:rsidR="003F4AB3" w:rsidRPr="0054393D">
        <w:rPr>
          <w:rFonts w:cstheme="minorHAnsi"/>
          <w:sz w:val="24"/>
          <w:lang w:val="en-US"/>
        </w:rPr>
        <w:t>participation, real</w:t>
      </w:r>
      <w:r w:rsidRPr="0054393D">
        <w:rPr>
          <w:rFonts w:cstheme="minorHAnsi"/>
          <w:sz w:val="24"/>
          <w:lang w:val="en-US"/>
        </w:rPr>
        <w:t xml:space="preserve"> choice</w:t>
      </w:r>
      <w:r w:rsidR="003F4AB3" w:rsidRPr="0054393D">
        <w:rPr>
          <w:rFonts w:cstheme="minorHAnsi"/>
          <w:sz w:val="24"/>
          <w:lang w:val="en-US"/>
        </w:rPr>
        <w:t xml:space="preserve"> and a genuine place in the community</w:t>
      </w:r>
      <w:r w:rsidRPr="0054393D">
        <w:rPr>
          <w:rFonts w:cstheme="minorHAnsi"/>
          <w:sz w:val="24"/>
          <w:lang w:val="en-US"/>
        </w:rPr>
        <w:t xml:space="preserve">. </w:t>
      </w:r>
    </w:p>
    <w:p w:rsidR="004606E9" w:rsidRDefault="004606E9" w:rsidP="0054393D">
      <w:pPr>
        <w:spacing w:after="0" w:line="240" w:lineRule="auto"/>
        <w:rPr>
          <w:rFonts w:cstheme="minorHAnsi"/>
          <w:sz w:val="24"/>
          <w:lang w:val="en-US"/>
        </w:rPr>
      </w:pPr>
    </w:p>
    <w:p w:rsidR="00486C2C" w:rsidRDefault="004606E9" w:rsidP="0054393D">
      <w:pPr>
        <w:spacing w:after="0" w:line="240" w:lineRule="auto"/>
        <w:rPr>
          <w:rFonts w:cstheme="minorHAnsi"/>
          <w:sz w:val="24"/>
          <w:lang w:val="en-US"/>
        </w:rPr>
      </w:pPr>
      <w:r>
        <w:rPr>
          <w:rFonts w:cstheme="minorHAnsi"/>
          <w:sz w:val="24"/>
          <w:lang w:val="en-US"/>
        </w:rPr>
        <w:t>T</w:t>
      </w:r>
      <w:r w:rsidR="00DD6D7F">
        <w:rPr>
          <w:rFonts w:cstheme="minorHAnsi"/>
          <w:sz w:val="24"/>
          <w:lang w:val="en-US"/>
        </w:rPr>
        <w:t xml:space="preserve">he </w:t>
      </w:r>
      <w:r w:rsidR="00486C2C">
        <w:rPr>
          <w:rFonts w:cstheme="minorHAnsi"/>
          <w:sz w:val="24"/>
          <w:lang w:val="en-US"/>
        </w:rPr>
        <w:t xml:space="preserve">work of JFA Purple Orange highlights that young people living in residential aged care </w:t>
      </w:r>
      <w:r w:rsidR="00581597">
        <w:rPr>
          <w:rFonts w:cstheme="minorHAnsi"/>
          <w:sz w:val="24"/>
          <w:lang w:val="en-US"/>
        </w:rPr>
        <w:t xml:space="preserve">do not </w:t>
      </w:r>
      <w:r w:rsidR="00486C2C">
        <w:rPr>
          <w:rFonts w:cstheme="minorHAnsi"/>
          <w:sz w:val="24"/>
          <w:lang w:val="en-US"/>
        </w:rPr>
        <w:t xml:space="preserve">have </w:t>
      </w:r>
      <w:r w:rsidR="00581597">
        <w:rPr>
          <w:rFonts w:cstheme="minorHAnsi"/>
          <w:sz w:val="24"/>
          <w:lang w:val="en-US"/>
        </w:rPr>
        <w:t>these experiences which are common to other young people</w:t>
      </w:r>
      <w:r w:rsidR="00486C2C">
        <w:rPr>
          <w:rFonts w:cstheme="minorHAnsi"/>
          <w:sz w:val="24"/>
          <w:lang w:val="en-US"/>
        </w:rPr>
        <w:t xml:space="preserve">. </w:t>
      </w:r>
      <w:r w:rsidR="00581597">
        <w:rPr>
          <w:rFonts w:cstheme="minorHAnsi"/>
          <w:sz w:val="24"/>
          <w:lang w:val="en-US"/>
        </w:rPr>
        <w:t>We believe</w:t>
      </w:r>
      <w:r w:rsidR="002740A3">
        <w:rPr>
          <w:rFonts w:cstheme="minorHAnsi"/>
          <w:sz w:val="24"/>
          <w:lang w:val="en-US"/>
        </w:rPr>
        <w:t xml:space="preserve"> </w:t>
      </w:r>
      <w:r w:rsidR="00486C2C">
        <w:rPr>
          <w:rFonts w:cstheme="minorHAnsi"/>
          <w:sz w:val="24"/>
          <w:lang w:val="en-US"/>
        </w:rPr>
        <w:t>residential aged care facilities are inappropriate for young people living with disability</w:t>
      </w:r>
      <w:r w:rsidR="00581597">
        <w:rPr>
          <w:rFonts w:cstheme="minorHAnsi"/>
          <w:sz w:val="24"/>
          <w:lang w:val="en-US"/>
        </w:rPr>
        <w:t xml:space="preserve"> due to institutionali</w:t>
      </w:r>
      <w:r w:rsidR="002740A3">
        <w:rPr>
          <w:rFonts w:cstheme="minorHAnsi"/>
          <w:sz w:val="24"/>
          <w:lang w:val="en-US"/>
        </w:rPr>
        <w:t>s</w:t>
      </w:r>
      <w:r w:rsidR="00581597">
        <w:rPr>
          <w:rFonts w:cstheme="minorHAnsi"/>
          <w:sz w:val="24"/>
          <w:lang w:val="en-US"/>
        </w:rPr>
        <w:t xml:space="preserve">ation, age incongruence and the co-location of people </w:t>
      </w:r>
      <w:r w:rsidR="002740A3">
        <w:rPr>
          <w:rFonts w:cstheme="minorHAnsi"/>
          <w:sz w:val="24"/>
          <w:lang w:val="en-US"/>
        </w:rPr>
        <w:t xml:space="preserve">living </w:t>
      </w:r>
      <w:r w:rsidR="00581597">
        <w:rPr>
          <w:rFonts w:cstheme="minorHAnsi"/>
          <w:sz w:val="24"/>
          <w:lang w:val="en-US"/>
        </w:rPr>
        <w:t>with disability. This is exacerbated by systemic issues in the disability sector which ha</w:t>
      </w:r>
      <w:r w:rsidR="002740A3">
        <w:rPr>
          <w:rFonts w:cstheme="minorHAnsi"/>
          <w:sz w:val="24"/>
          <w:lang w:val="en-US"/>
        </w:rPr>
        <w:t>ve</w:t>
      </w:r>
      <w:r w:rsidR="00581597">
        <w:rPr>
          <w:rFonts w:cstheme="minorHAnsi"/>
          <w:sz w:val="24"/>
          <w:lang w:val="en-US"/>
        </w:rPr>
        <w:t xml:space="preserve"> failed many individuals particularly at transition points in their lives.</w:t>
      </w:r>
    </w:p>
    <w:p w:rsidR="00486C2C" w:rsidRDefault="00486C2C" w:rsidP="0054393D">
      <w:pPr>
        <w:spacing w:after="0" w:line="240" w:lineRule="auto"/>
        <w:rPr>
          <w:rFonts w:cstheme="minorHAnsi"/>
          <w:sz w:val="24"/>
          <w:lang w:val="en-US"/>
        </w:rPr>
      </w:pPr>
    </w:p>
    <w:p w:rsidR="007063CB" w:rsidRDefault="00AB4564" w:rsidP="0054393D">
      <w:pPr>
        <w:spacing w:after="0" w:line="240" w:lineRule="auto"/>
        <w:rPr>
          <w:rFonts w:cstheme="minorHAnsi"/>
          <w:sz w:val="24"/>
          <w:lang w:val="en-US"/>
        </w:rPr>
      </w:pPr>
      <w:r>
        <w:rPr>
          <w:rFonts w:cstheme="minorHAnsi"/>
          <w:sz w:val="24"/>
          <w:lang w:val="en-US"/>
        </w:rPr>
        <w:t xml:space="preserve">However, living </w:t>
      </w:r>
      <w:r>
        <w:rPr>
          <w:rFonts w:cs="Frutiger 45 Light"/>
          <w:color w:val="000000"/>
          <w:sz w:val="24"/>
        </w:rPr>
        <w:t>in the</w:t>
      </w:r>
      <w:r w:rsidR="003F4AB3" w:rsidRPr="0054393D">
        <w:rPr>
          <w:rFonts w:cs="Frutiger 45 Light"/>
          <w:color w:val="000000"/>
          <w:sz w:val="24"/>
        </w:rPr>
        <w:t xml:space="preserve"> community does not automatically create community connections. </w:t>
      </w:r>
      <w:r w:rsidR="003F40B5">
        <w:rPr>
          <w:rFonts w:cstheme="minorHAnsi"/>
          <w:sz w:val="24"/>
          <w:lang w:val="en-US"/>
        </w:rPr>
        <w:t>A</w:t>
      </w:r>
      <w:r>
        <w:rPr>
          <w:rFonts w:cstheme="minorHAnsi"/>
          <w:sz w:val="24"/>
          <w:lang w:val="en-US"/>
        </w:rPr>
        <w:t>ny</w:t>
      </w:r>
      <w:r w:rsidR="003F40B5">
        <w:rPr>
          <w:rFonts w:cstheme="minorHAnsi"/>
          <w:sz w:val="24"/>
          <w:lang w:val="en-US"/>
        </w:rPr>
        <w:t xml:space="preserve"> </w:t>
      </w:r>
      <w:r w:rsidR="007063CB" w:rsidRPr="0054393D">
        <w:rPr>
          <w:rFonts w:cstheme="minorHAnsi"/>
          <w:sz w:val="24"/>
          <w:lang w:val="en-US"/>
        </w:rPr>
        <w:t xml:space="preserve">housing model </w:t>
      </w:r>
      <w:r>
        <w:rPr>
          <w:rFonts w:cstheme="minorHAnsi"/>
          <w:sz w:val="24"/>
          <w:lang w:val="en-US"/>
        </w:rPr>
        <w:t xml:space="preserve">must be </w:t>
      </w:r>
      <w:r w:rsidR="007063CB" w:rsidRPr="0054393D">
        <w:rPr>
          <w:rFonts w:cstheme="minorHAnsi"/>
          <w:sz w:val="24"/>
          <w:lang w:val="en-US"/>
        </w:rPr>
        <w:t>anchored on supporting the person to move into roles of Personhood and Citizenhood</w:t>
      </w:r>
      <w:r w:rsidR="003F4AB3" w:rsidRPr="0054393D">
        <w:rPr>
          <w:rFonts w:cstheme="minorHAnsi"/>
          <w:sz w:val="24"/>
          <w:lang w:val="en-US"/>
        </w:rPr>
        <w:t>,</w:t>
      </w:r>
      <w:r w:rsidR="007063CB" w:rsidRPr="0054393D">
        <w:rPr>
          <w:rFonts w:cstheme="minorHAnsi"/>
          <w:sz w:val="24"/>
          <w:lang w:val="en-US"/>
        </w:rPr>
        <w:t xml:space="preserve"> </w:t>
      </w:r>
      <w:r>
        <w:rPr>
          <w:rFonts w:cstheme="minorHAnsi"/>
          <w:sz w:val="24"/>
          <w:lang w:val="en-US"/>
        </w:rPr>
        <w:t xml:space="preserve">which </w:t>
      </w:r>
      <w:r w:rsidR="003F4AB3" w:rsidRPr="0054393D">
        <w:rPr>
          <w:rFonts w:cstheme="minorHAnsi"/>
          <w:sz w:val="24"/>
          <w:lang w:val="en-US"/>
        </w:rPr>
        <w:t xml:space="preserve">aims to </w:t>
      </w:r>
      <w:r w:rsidR="00B02F23" w:rsidRPr="0054393D">
        <w:rPr>
          <w:rFonts w:cstheme="minorHAnsi"/>
          <w:sz w:val="24"/>
          <w:lang w:val="en-US"/>
        </w:rPr>
        <w:t>facilitate choice</w:t>
      </w:r>
      <w:r w:rsidR="003F4AB3" w:rsidRPr="0054393D">
        <w:rPr>
          <w:rFonts w:cstheme="minorHAnsi"/>
          <w:sz w:val="24"/>
          <w:lang w:val="en-US"/>
        </w:rPr>
        <w:t>, participation and autonomy.</w:t>
      </w:r>
    </w:p>
    <w:p w:rsidR="00A13125" w:rsidRDefault="00512FC2" w:rsidP="0054393D">
      <w:pPr>
        <w:spacing w:after="0" w:line="240" w:lineRule="auto"/>
        <w:rPr>
          <w:rFonts w:cstheme="minorHAnsi"/>
          <w:sz w:val="24"/>
          <w:lang w:val="en-US"/>
        </w:rPr>
      </w:pPr>
      <w:r>
        <w:rPr>
          <w:rFonts w:cstheme="minorHAnsi"/>
          <w:sz w:val="24"/>
          <w:lang w:val="en-US"/>
        </w:rPr>
        <w:t>Having accommodation of choice</w:t>
      </w:r>
      <w:r w:rsidR="00A13125" w:rsidRPr="0054393D">
        <w:rPr>
          <w:rFonts w:cstheme="minorHAnsi"/>
          <w:sz w:val="24"/>
          <w:lang w:val="en-US"/>
        </w:rPr>
        <w:t xml:space="preserve"> should be the norm, and not an opportunity available to a lucky few</w:t>
      </w:r>
      <w:r w:rsidR="00AB4564">
        <w:rPr>
          <w:rFonts w:cstheme="minorHAnsi"/>
          <w:sz w:val="24"/>
          <w:lang w:val="en-US"/>
        </w:rPr>
        <w:t>, as these interview comments attest</w:t>
      </w:r>
      <w:r w:rsidR="00A13125" w:rsidRPr="0054393D">
        <w:rPr>
          <w:rFonts w:cstheme="minorHAnsi"/>
          <w:sz w:val="24"/>
          <w:lang w:val="en-US"/>
        </w:rPr>
        <w:t>:</w:t>
      </w:r>
    </w:p>
    <w:p w:rsidR="000C773D" w:rsidRDefault="000C773D" w:rsidP="000C773D">
      <w:pPr>
        <w:rPr>
          <w:sz w:val="24"/>
          <w:szCs w:val="24"/>
        </w:rPr>
      </w:pPr>
    </w:p>
    <w:p w:rsidR="000C773D" w:rsidRPr="0054393D" w:rsidRDefault="000C773D" w:rsidP="0032782C">
      <w:pPr>
        <w:spacing w:after="0" w:line="360" w:lineRule="auto"/>
        <w:ind w:left="567" w:right="567"/>
        <w:rPr>
          <w:sz w:val="24"/>
        </w:rPr>
      </w:pPr>
      <w:r w:rsidRPr="0054393D">
        <w:rPr>
          <w:sz w:val="24"/>
        </w:rPr>
        <w:t>“This [unit] is a good set up and it is very sad to see young people my age [30s] having to enter Nursing Homes. There should be more model units set up like this unit.”</w:t>
      </w:r>
    </w:p>
    <w:p w:rsidR="00A13125" w:rsidRPr="0054393D" w:rsidRDefault="00A13125" w:rsidP="0032782C">
      <w:pPr>
        <w:spacing w:after="0" w:line="360" w:lineRule="auto"/>
        <w:ind w:left="567" w:right="567"/>
        <w:rPr>
          <w:sz w:val="24"/>
        </w:rPr>
      </w:pPr>
      <w:r w:rsidRPr="0054393D">
        <w:rPr>
          <w:sz w:val="24"/>
        </w:rPr>
        <w:t xml:space="preserve">“I should not be one of the few, I should be one of the many living in my own </w:t>
      </w:r>
      <w:r w:rsidR="000534CB" w:rsidRPr="0054393D">
        <w:rPr>
          <w:sz w:val="24"/>
        </w:rPr>
        <w:t>supported unit</w:t>
      </w:r>
      <w:r w:rsidRPr="0054393D">
        <w:rPr>
          <w:sz w:val="24"/>
        </w:rPr>
        <w:t>.”</w:t>
      </w:r>
    </w:p>
    <w:p w:rsidR="000916A5" w:rsidRPr="0054393D" w:rsidRDefault="000916A5" w:rsidP="0032782C">
      <w:pPr>
        <w:spacing w:after="0" w:line="360" w:lineRule="auto"/>
        <w:ind w:left="567" w:right="567"/>
        <w:rPr>
          <w:sz w:val="24"/>
        </w:rPr>
      </w:pPr>
      <w:r w:rsidRPr="000916A5">
        <w:rPr>
          <w:sz w:val="24"/>
        </w:rPr>
        <w:t>“I was so lucky [after a period spent in respite] to get this unit as so many people are waiting for a placement.”</w:t>
      </w:r>
    </w:p>
    <w:p w:rsidR="0032782C" w:rsidRDefault="0032782C">
      <w:pPr>
        <w:rPr>
          <w:sz w:val="24"/>
        </w:rPr>
      </w:pPr>
      <w:r>
        <w:rPr>
          <w:sz w:val="24"/>
        </w:rPr>
        <w:br w:type="page"/>
      </w:r>
    </w:p>
    <w:p w:rsidR="00A13125" w:rsidRPr="0054393D" w:rsidRDefault="008C662D" w:rsidP="0032782C">
      <w:pPr>
        <w:spacing w:after="0" w:line="360" w:lineRule="auto"/>
        <w:ind w:left="567" w:right="567"/>
        <w:rPr>
          <w:sz w:val="24"/>
        </w:rPr>
      </w:pPr>
      <w:r w:rsidRPr="0054393D">
        <w:rPr>
          <w:sz w:val="24"/>
        </w:rPr>
        <w:lastRenderedPageBreak/>
        <w:t>“There is much debate at this time about the inhumane treatment of asylum seekers living in detention centres. This debate needs to be moved urgently towards the hundreds (maybe thousands) of Australian citizens who by no fault of their own find themselves imprisoned in nursing homes. These people are some of the forgotten Australians. A nursing home is no place for young people.”</w:t>
      </w:r>
      <w:r w:rsidR="007A13E7" w:rsidRPr="0054393D">
        <w:rPr>
          <w:rStyle w:val="FootnoteReference"/>
          <w:sz w:val="24"/>
        </w:rPr>
        <w:footnoteReference w:id="29"/>
      </w:r>
    </w:p>
    <w:p w:rsidR="001C3F43" w:rsidRDefault="001C3F43" w:rsidP="0032782C">
      <w:pPr>
        <w:spacing w:after="0" w:line="360" w:lineRule="auto"/>
        <w:ind w:left="567" w:right="567"/>
        <w:rPr>
          <w:rFonts w:cstheme="minorHAnsi"/>
          <w:b/>
          <w:color w:val="522E91"/>
          <w:sz w:val="32"/>
          <w:szCs w:val="32"/>
        </w:rPr>
      </w:pPr>
      <w:r>
        <w:br w:type="page"/>
      </w:r>
    </w:p>
    <w:p w:rsidR="00BA1444" w:rsidRPr="00BA1444" w:rsidRDefault="00BA1444" w:rsidP="00244C7B">
      <w:pPr>
        <w:pStyle w:val="Heading1"/>
      </w:pPr>
      <w:bookmarkStart w:id="23" w:name="_Toc412197797"/>
      <w:r>
        <w:lastRenderedPageBreak/>
        <w:t>Recommendations</w:t>
      </w:r>
      <w:bookmarkEnd w:id="23"/>
      <w:r w:rsidR="000430D0">
        <w:br/>
      </w:r>
    </w:p>
    <w:p w:rsidR="003F4AB3" w:rsidRDefault="005C4DCB" w:rsidP="00712ED1">
      <w:pPr>
        <w:spacing w:after="0" w:line="240" w:lineRule="auto"/>
      </w:pPr>
      <w:r>
        <w:rPr>
          <w:sz w:val="24"/>
        </w:rPr>
        <w:t>We recommend</w:t>
      </w:r>
      <w:r w:rsidR="00503B84" w:rsidRPr="0054393D">
        <w:rPr>
          <w:sz w:val="24"/>
        </w:rPr>
        <w:t xml:space="preserve"> the Senate Community Affairs Committee</w:t>
      </w:r>
      <w:r w:rsidR="003F4AB3" w:rsidRPr="0054393D">
        <w:rPr>
          <w:sz w:val="24"/>
        </w:rPr>
        <w:t>:</w:t>
      </w:r>
    </w:p>
    <w:p w:rsidR="007D220B" w:rsidRPr="00031484" w:rsidRDefault="007D220B" w:rsidP="00712ED1">
      <w:pPr>
        <w:spacing w:after="0" w:line="240" w:lineRule="auto"/>
        <w:rPr>
          <w:sz w:val="24"/>
        </w:rPr>
      </w:pPr>
    </w:p>
    <w:p w:rsidR="007D220B" w:rsidRDefault="007D220B" w:rsidP="00712ED1">
      <w:pPr>
        <w:pStyle w:val="ListParagraph"/>
        <w:numPr>
          <w:ilvl w:val="0"/>
          <w:numId w:val="45"/>
        </w:numPr>
        <w:spacing w:after="0" w:line="240" w:lineRule="auto"/>
        <w:rPr>
          <w:szCs w:val="22"/>
        </w:rPr>
      </w:pPr>
      <w:r>
        <w:rPr>
          <w:szCs w:val="22"/>
        </w:rPr>
        <w:t>Adopt the basic premise that it is never acceptable for a younger person to live in a Residential Aged Care Facility.</w:t>
      </w:r>
    </w:p>
    <w:p w:rsidR="007D220B" w:rsidRDefault="007D220B" w:rsidP="00712ED1">
      <w:pPr>
        <w:pStyle w:val="ListParagraph"/>
        <w:numPr>
          <w:ilvl w:val="0"/>
          <w:numId w:val="45"/>
        </w:numPr>
        <w:spacing w:after="0" w:line="240" w:lineRule="auto"/>
        <w:rPr>
          <w:szCs w:val="22"/>
        </w:rPr>
      </w:pPr>
      <w:r>
        <w:rPr>
          <w:szCs w:val="22"/>
        </w:rPr>
        <w:t xml:space="preserve">Develop a national program which </w:t>
      </w:r>
      <w:r w:rsidR="00A80CB5">
        <w:rPr>
          <w:szCs w:val="22"/>
        </w:rPr>
        <w:t xml:space="preserve">addresses </w:t>
      </w:r>
      <w:r>
        <w:rPr>
          <w:szCs w:val="22"/>
        </w:rPr>
        <w:t xml:space="preserve">the systemic failures at key transition points which contribute to young people living with disability being placed in residential aged care. This program </w:t>
      </w:r>
      <w:r w:rsidR="007456D5">
        <w:rPr>
          <w:szCs w:val="22"/>
        </w:rPr>
        <w:t>should</w:t>
      </w:r>
      <w:r>
        <w:rPr>
          <w:szCs w:val="22"/>
        </w:rPr>
        <w:t>:</w:t>
      </w:r>
    </w:p>
    <w:p w:rsidR="007D220B" w:rsidRDefault="007D220B" w:rsidP="00712ED1">
      <w:pPr>
        <w:pStyle w:val="ListParagraph"/>
        <w:numPr>
          <w:ilvl w:val="1"/>
          <w:numId w:val="45"/>
        </w:numPr>
        <w:spacing w:after="0" w:line="240" w:lineRule="auto"/>
        <w:rPr>
          <w:szCs w:val="22"/>
        </w:rPr>
      </w:pPr>
      <w:r>
        <w:rPr>
          <w:szCs w:val="22"/>
        </w:rPr>
        <w:t>Target transition points</w:t>
      </w:r>
      <w:r w:rsidR="006D09E6">
        <w:rPr>
          <w:szCs w:val="22"/>
        </w:rPr>
        <w:t xml:space="preserve"> such </w:t>
      </w:r>
      <w:r w:rsidR="003D132D">
        <w:rPr>
          <w:szCs w:val="22"/>
        </w:rPr>
        <w:t>as health</w:t>
      </w:r>
      <w:r>
        <w:rPr>
          <w:szCs w:val="22"/>
        </w:rPr>
        <w:t xml:space="preserve"> (hospitals </w:t>
      </w:r>
      <w:r w:rsidR="007456D5">
        <w:rPr>
          <w:szCs w:val="22"/>
        </w:rPr>
        <w:t>and</w:t>
      </w:r>
      <w:r>
        <w:rPr>
          <w:szCs w:val="22"/>
        </w:rPr>
        <w:t xml:space="preserve"> rehabilitation services), </w:t>
      </w:r>
      <w:r w:rsidR="00A80CB5">
        <w:rPr>
          <w:szCs w:val="22"/>
        </w:rPr>
        <w:t xml:space="preserve">crisis care, </w:t>
      </w:r>
      <w:r>
        <w:rPr>
          <w:szCs w:val="22"/>
        </w:rPr>
        <w:t>education and</w:t>
      </w:r>
      <w:r w:rsidR="00712ED1">
        <w:rPr>
          <w:szCs w:val="22"/>
        </w:rPr>
        <w:t xml:space="preserve"> </w:t>
      </w:r>
      <w:r w:rsidR="00A80CB5">
        <w:rPr>
          <w:szCs w:val="22"/>
        </w:rPr>
        <w:t xml:space="preserve">consider </w:t>
      </w:r>
      <w:r w:rsidR="00712ED1">
        <w:rPr>
          <w:szCs w:val="22"/>
        </w:rPr>
        <w:t>the situation of</w:t>
      </w:r>
      <w:r>
        <w:rPr>
          <w:szCs w:val="22"/>
        </w:rPr>
        <w:t xml:space="preserve"> ageing parents</w:t>
      </w:r>
      <w:r w:rsidR="00A80CB5">
        <w:rPr>
          <w:szCs w:val="22"/>
        </w:rPr>
        <w:t>; and</w:t>
      </w:r>
    </w:p>
    <w:p w:rsidR="007D220B" w:rsidRDefault="007D220B" w:rsidP="00712ED1">
      <w:pPr>
        <w:pStyle w:val="ListParagraph"/>
        <w:numPr>
          <w:ilvl w:val="1"/>
          <w:numId w:val="45"/>
        </w:numPr>
        <w:spacing w:after="0" w:line="240" w:lineRule="auto"/>
        <w:rPr>
          <w:szCs w:val="22"/>
        </w:rPr>
      </w:pPr>
      <w:r>
        <w:rPr>
          <w:szCs w:val="22"/>
        </w:rPr>
        <w:t xml:space="preserve">Include strategies which increase/release the capacity of people living with disability and their families to imagine a range of positive outcomes, plan and make informed choices. </w:t>
      </w:r>
    </w:p>
    <w:p w:rsidR="007D220B" w:rsidRDefault="007D220B" w:rsidP="00712ED1">
      <w:pPr>
        <w:pStyle w:val="ListParagraph"/>
        <w:spacing w:after="0" w:line="240" w:lineRule="auto"/>
        <w:ind w:left="360"/>
        <w:rPr>
          <w:szCs w:val="22"/>
        </w:rPr>
      </w:pPr>
    </w:p>
    <w:p w:rsidR="007D220B" w:rsidRDefault="007D220B" w:rsidP="00712ED1">
      <w:pPr>
        <w:pStyle w:val="ListParagraph"/>
        <w:numPr>
          <w:ilvl w:val="0"/>
          <w:numId w:val="45"/>
        </w:numPr>
        <w:spacing w:after="0" w:line="240" w:lineRule="auto"/>
        <w:rPr>
          <w:szCs w:val="22"/>
        </w:rPr>
      </w:pPr>
      <w:r>
        <w:rPr>
          <w:szCs w:val="22"/>
        </w:rPr>
        <w:t>Endorse a clear set of values and principles for government, young people living with disability and their families to guide the decision making process. Values may include:</w:t>
      </w:r>
    </w:p>
    <w:p w:rsidR="007D220B" w:rsidRDefault="007D220B" w:rsidP="00712ED1">
      <w:pPr>
        <w:pStyle w:val="ListParagraph"/>
        <w:numPr>
          <w:ilvl w:val="1"/>
          <w:numId w:val="45"/>
        </w:numPr>
        <w:spacing w:after="0" w:line="240" w:lineRule="auto"/>
        <w:rPr>
          <w:szCs w:val="22"/>
        </w:rPr>
      </w:pPr>
      <w:r>
        <w:rPr>
          <w:szCs w:val="22"/>
        </w:rPr>
        <w:t>Articulating the importance of power, choice and control</w:t>
      </w:r>
    </w:p>
    <w:p w:rsidR="007D220B" w:rsidRDefault="007D220B" w:rsidP="00712ED1">
      <w:pPr>
        <w:pStyle w:val="ListParagraph"/>
        <w:numPr>
          <w:ilvl w:val="1"/>
          <w:numId w:val="45"/>
        </w:numPr>
        <w:spacing w:after="0" w:line="240" w:lineRule="auto"/>
        <w:rPr>
          <w:szCs w:val="22"/>
        </w:rPr>
      </w:pPr>
      <w:r>
        <w:rPr>
          <w:szCs w:val="22"/>
        </w:rPr>
        <w:t>The preference for young people to live or return to their family or community</w:t>
      </w:r>
    </w:p>
    <w:p w:rsidR="007D220B" w:rsidRDefault="007D220B" w:rsidP="00712ED1">
      <w:pPr>
        <w:pStyle w:val="ListParagraph"/>
        <w:numPr>
          <w:ilvl w:val="1"/>
          <w:numId w:val="45"/>
        </w:numPr>
        <w:spacing w:after="0" w:line="240" w:lineRule="auto"/>
        <w:rPr>
          <w:szCs w:val="22"/>
        </w:rPr>
      </w:pPr>
      <w:r>
        <w:rPr>
          <w:szCs w:val="22"/>
        </w:rPr>
        <w:t>The importance of capacity building for individuals for informed decision making</w:t>
      </w:r>
    </w:p>
    <w:p w:rsidR="007D220B" w:rsidRDefault="007D220B" w:rsidP="00712ED1">
      <w:pPr>
        <w:pStyle w:val="ListParagraph"/>
        <w:numPr>
          <w:ilvl w:val="1"/>
          <w:numId w:val="45"/>
        </w:numPr>
        <w:spacing w:after="0" w:line="240" w:lineRule="auto"/>
        <w:rPr>
          <w:szCs w:val="22"/>
        </w:rPr>
      </w:pPr>
      <w:r>
        <w:rPr>
          <w:szCs w:val="22"/>
        </w:rPr>
        <w:t>Providing an environment which is responsive and flexible to individuals</w:t>
      </w:r>
    </w:p>
    <w:p w:rsidR="007D220B" w:rsidRDefault="007D220B" w:rsidP="00712ED1">
      <w:pPr>
        <w:pStyle w:val="ListParagraph"/>
        <w:numPr>
          <w:ilvl w:val="1"/>
          <w:numId w:val="45"/>
        </w:numPr>
        <w:spacing w:after="0" w:line="240" w:lineRule="auto"/>
        <w:rPr>
          <w:szCs w:val="22"/>
        </w:rPr>
      </w:pPr>
      <w:r>
        <w:rPr>
          <w:szCs w:val="22"/>
        </w:rPr>
        <w:t>The availability of flexible funding, support and assistance.</w:t>
      </w:r>
    </w:p>
    <w:p w:rsidR="007D220B" w:rsidRDefault="007D220B" w:rsidP="00712ED1">
      <w:pPr>
        <w:pStyle w:val="ListParagraph"/>
        <w:spacing w:after="0" w:line="240" w:lineRule="auto"/>
        <w:ind w:left="1080"/>
        <w:rPr>
          <w:szCs w:val="22"/>
        </w:rPr>
      </w:pPr>
    </w:p>
    <w:p w:rsidR="007D220B" w:rsidRDefault="007D220B" w:rsidP="00712ED1">
      <w:pPr>
        <w:pStyle w:val="ListParagraph"/>
        <w:numPr>
          <w:ilvl w:val="0"/>
          <w:numId w:val="45"/>
        </w:numPr>
        <w:spacing w:after="0" w:line="240" w:lineRule="auto"/>
        <w:rPr>
          <w:szCs w:val="22"/>
        </w:rPr>
      </w:pPr>
      <w:r w:rsidRPr="0054393D">
        <w:rPr>
          <w:szCs w:val="22"/>
        </w:rPr>
        <w:t xml:space="preserve">Consider the opportunities and options provided through </w:t>
      </w:r>
      <w:r>
        <w:rPr>
          <w:szCs w:val="22"/>
        </w:rPr>
        <w:t xml:space="preserve">a framework such as the </w:t>
      </w:r>
      <w:r w:rsidRPr="008376D9">
        <w:rPr>
          <w:i/>
          <w:szCs w:val="22"/>
        </w:rPr>
        <w:t>Model of Citizenhood Support</w:t>
      </w:r>
      <w:r>
        <w:rPr>
          <w:rStyle w:val="FootnoteReference"/>
          <w:szCs w:val="22"/>
        </w:rPr>
        <w:footnoteReference w:id="30"/>
      </w:r>
      <w:r w:rsidRPr="0054393D">
        <w:rPr>
          <w:szCs w:val="22"/>
        </w:rPr>
        <w:t>,</w:t>
      </w:r>
      <w:r>
        <w:rPr>
          <w:szCs w:val="22"/>
        </w:rPr>
        <w:t xml:space="preserve"> </w:t>
      </w:r>
      <w:r w:rsidRPr="0054393D">
        <w:rPr>
          <w:szCs w:val="22"/>
        </w:rPr>
        <w:t>which employs strategies and actions to facilitate choice, participation and autonomy</w:t>
      </w:r>
      <w:r>
        <w:rPr>
          <w:szCs w:val="22"/>
        </w:rPr>
        <w:t>.</w:t>
      </w:r>
    </w:p>
    <w:p w:rsidR="007D220B" w:rsidRPr="00686049" w:rsidRDefault="007D220B" w:rsidP="00712ED1">
      <w:pPr>
        <w:spacing w:after="0" w:line="240" w:lineRule="auto"/>
      </w:pPr>
    </w:p>
    <w:p w:rsidR="007D220B" w:rsidRPr="0028488A" w:rsidRDefault="007D220B" w:rsidP="00712ED1">
      <w:pPr>
        <w:pStyle w:val="ListParagraph"/>
        <w:numPr>
          <w:ilvl w:val="0"/>
          <w:numId w:val="45"/>
        </w:numPr>
        <w:spacing w:after="0" w:line="240" w:lineRule="auto"/>
        <w:rPr>
          <w:szCs w:val="22"/>
        </w:rPr>
      </w:pPr>
      <w:r>
        <w:rPr>
          <w:lang w:val="en"/>
        </w:rPr>
        <w:t>Explore pathways to contemporary models to enable individuals to have genuine choice in their housing. These might include:</w:t>
      </w:r>
    </w:p>
    <w:p w:rsidR="007D220B" w:rsidRDefault="007D220B" w:rsidP="008376D9">
      <w:pPr>
        <w:pStyle w:val="ListParagraph"/>
        <w:numPr>
          <w:ilvl w:val="1"/>
          <w:numId w:val="45"/>
        </w:numPr>
        <w:spacing w:after="0" w:line="240" w:lineRule="auto"/>
        <w:rPr>
          <w:lang w:val="en"/>
        </w:rPr>
      </w:pPr>
      <w:r>
        <w:rPr>
          <w:lang w:val="en"/>
        </w:rPr>
        <w:t>Living with family with appropriate building modifications</w:t>
      </w:r>
    </w:p>
    <w:p w:rsidR="007D220B" w:rsidRDefault="007D220B" w:rsidP="008376D9">
      <w:pPr>
        <w:pStyle w:val="ListParagraph"/>
        <w:numPr>
          <w:ilvl w:val="1"/>
          <w:numId w:val="45"/>
        </w:numPr>
        <w:spacing w:after="0" w:line="240" w:lineRule="auto"/>
        <w:rPr>
          <w:lang w:val="en"/>
        </w:rPr>
      </w:pPr>
      <w:r>
        <w:rPr>
          <w:lang w:val="en"/>
        </w:rPr>
        <w:t xml:space="preserve">Co-tenancy with friends or </w:t>
      </w:r>
      <w:r w:rsidR="003D132D">
        <w:rPr>
          <w:lang w:val="en"/>
        </w:rPr>
        <w:t>flat mates</w:t>
      </w:r>
      <w:r>
        <w:rPr>
          <w:lang w:val="en"/>
        </w:rPr>
        <w:t xml:space="preserve"> in private rental or affordable housing</w:t>
      </w:r>
    </w:p>
    <w:p w:rsidR="007D220B" w:rsidRDefault="007D220B" w:rsidP="008376D9">
      <w:pPr>
        <w:pStyle w:val="ListParagraph"/>
        <w:numPr>
          <w:ilvl w:val="1"/>
          <w:numId w:val="45"/>
        </w:numPr>
        <w:spacing w:after="0" w:line="240" w:lineRule="auto"/>
        <w:rPr>
          <w:lang w:val="en"/>
        </w:rPr>
      </w:pPr>
      <w:r>
        <w:rPr>
          <w:lang w:val="en"/>
        </w:rPr>
        <w:t>Living alone with support as required in private rental or affordable housing</w:t>
      </w:r>
    </w:p>
    <w:p w:rsidR="007D220B" w:rsidRDefault="007D220B" w:rsidP="008376D9">
      <w:pPr>
        <w:pStyle w:val="ListParagraph"/>
        <w:numPr>
          <w:ilvl w:val="1"/>
          <w:numId w:val="45"/>
        </w:numPr>
        <w:spacing w:after="0" w:line="240" w:lineRule="auto"/>
        <w:rPr>
          <w:lang w:val="en"/>
        </w:rPr>
      </w:pPr>
      <w:r>
        <w:rPr>
          <w:lang w:val="en"/>
        </w:rPr>
        <w:t>Home-share options where a person with disability shares accommodation with someone without disability (often a student) for reduced or no rent in exchange for support around the home</w:t>
      </w:r>
    </w:p>
    <w:p w:rsidR="00773BA4" w:rsidRDefault="007D220B" w:rsidP="00773BA4">
      <w:pPr>
        <w:pStyle w:val="ListParagraph"/>
        <w:numPr>
          <w:ilvl w:val="1"/>
          <w:numId w:val="25"/>
        </w:numPr>
        <w:rPr>
          <w:lang w:val="en"/>
        </w:rPr>
      </w:pPr>
      <w:r w:rsidRPr="00773BA4">
        <w:rPr>
          <w:lang w:val="en"/>
        </w:rPr>
        <w:t xml:space="preserve">Attendant care – individual dwellings </w:t>
      </w:r>
      <w:r w:rsidR="008376D9" w:rsidRPr="00773BA4">
        <w:rPr>
          <w:lang w:val="en"/>
        </w:rPr>
        <w:t>dispersed</w:t>
      </w:r>
      <w:r w:rsidRPr="00773BA4">
        <w:rPr>
          <w:lang w:val="en"/>
        </w:rPr>
        <w:t xml:space="preserve"> within a suburb </w:t>
      </w:r>
      <w:r w:rsidR="00773BA4">
        <w:rPr>
          <w:lang w:val="en"/>
        </w:rPr>
        <w:t>where tenants use the same support agency/support agency staff</w:t>
      </w:r>
    </w:p>
    <w:p w:rsidR="00897320" w:rsidRPr="00773BA4" w:rsidRDefault="007D220B" w:rsidP="008376D9">
      <w:pPr>
        <w:pStyle w:val="ListParagraph"/>
        <w:numPr>
          <w:ilvl w:val="1"/>
          <w:numId w:val="45"/>
        </w:numPr>
        <w:spacing w:after="0" w:line="240" w:lineRule="auto"/>
        <w:rPr>
          <w:lang w:val="en"/>
        </w:rPr>
      </w:pPr>
      <w:r w:rsidRPr="00773BA4">
        <w:rPr>
          <w:lang w:val="en"/>
        </w:rPr>
        <w:t>Mini-cluster housing – two or three units on one site with support as required</w:t>
      </w:r>
      <w:r w:rsidR="00897320" w:rsidRPr="00773BA4">
        <w:rPr>
          <w:lang w:val="en"/>
        </w:rPr>
        <w:t>.</w:t>
      </w:r>
    </w:p>
    <w:p w:rsidR="00794EA7" w:rsidRPr="006613D3" w:rsidRDefault="00794EA7" w:rsidP="008376D9">
      <w:pPr>
        <w:spacing w:after="0" w:line="240" w:lineRule="auto"/>
        <w:rPr>
          <w:sz w:val="24"/>
          <w:szCs w:val="24"/>
        </w:rPr>
      </w:pPr>
      <w:r w:rsidRPr="006613D3">
        <w:rPr>
          <w:sz w:val="24"/>
          <w:szCs w:val="24"/>
        </w:rPr>
        <w:lastRenderedPageBreak/>
        <w:t xml:space="preserve">JFA Purple Orange would be pleased to further discuss any aspect of this submission </w:t>
      </w:r>
      <w:r w:rsidR="00897320">
        <w:rPr>
          <w:sz w:val="24"/>
          <w:szCs w:val="24"/>
        </w:rPr>
        <w:t xml:space="preserve">with </w:t>
      </w:r>
      <w:r w:rsidRPr="006613D3">
        <w:rPr>
          <w:sz w:val="24"/>
          <w:szCs w:val="24"/>
        </w:rPr>
        <w:t xml:space="preserve">the Senate Standing Committee on Community Affairs. </w:t>
      </w:r>
    </w:p>
    <w:sectPr w:rsidR="00794EA7" w:rsidRPr="006613D3" w:rsidSect="00031484">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D9" w:rsidRDefault="008376D9" w:rsidP="00DB28C7">
      <w:pPr>
        <w:spacing w:after="0" w:line="240" w:lineRule="auto"/>
      </w:pPr>
      <w:r>
        <w:separator/>
      </w:r>
    </w:p>
    <w:p w:rsidR="008376D9" w:rsidRDefault="008376D9"/>
    <w:p w:rsidR="008376D9" w:rsidRDefault="008376D9" w:rsidP="00031484"/>
  </w:endnote>
  <w:endnote w:type="continuationSeparator" w:id="0">
    <w:p w:rsidR="008376D9" w:rsidRDefault="008376D9" w:rsidP="00DB28C7">
      <w:pPr>
        <w:spacing w:after="0" w:line="240" w:lineRule="auto"/>
      </w:pPr>
      <w:r>
        <w:continuationSeparator/>
      </w:r>
    </w:p>
    <w:p w:rsidR="008376D9" w:rsidRDefault="008376D9"/>
    <w:p w:rsidR="008376D9" w:rsidRDefault="008376D9" w:rsidP="00031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05539"/>
      <w:docPartObj>
        <w:docPartGallery w:val="Page Numbers (Bottom of Page)"/>
        <w:docPartUnique/>
      </w:docPartObj>
    </w:sdtPr>
    <w:sdtEndPr>
      <w:rPr>
        <w:noProof/>
      </w:rPr>
    </w:sdtEndPr>
    <w:sdtContent>
      <w:sdt>
        <w:sdtPr>
          <w:rPr>
            <w:color w:val="522E91"/>
          </w:rPr>
          <w:id w:val="1386760448"/>
          <w:docPartObj>
            <w:docPartGallery w:val="Page Numbers (Bottom of Page)"/>
            <w:docPartUnique/>
          </w:docPartObj>
        </w:sdtPr>
        <w:sdtEndPr>
          <w:rPr>
            <w:noProof/>
          </w:rPr>
        </w:sdtEndPr>
        <w:sdtContent>
          <w:p w:rsidR="008376D9" w:rsidRPr="00EE6BA9" w:rsidRDefault="008376D9" w:rsidP="00E651DA">
            <w:pPr>
              <w:pStyle w:val="Footer"/>
              <w:jc w:val="center"/>
              <w:rPr>
                <w:noProof/>
                <w:color w:val="522E91"/>
              </w:rPr>
            </w:pPr>
            <w:r w:rsidRPr="00EE6BA9">
              <w:rPr>
                <w:color w:val="522E91"/>
              </w:rPr>
              <w:fldChar w:fldCharType="begin"/>
            </w:r>
            <w:r w:rsidRPr="00EE6BA9">
              <w:rPr>
                <w:color w:val="522E91"/>
              </w:rPr>
              <w:instrText xml:space="preserve"> PAGE   \* MERGEFORMAT </w:instrText>
            </w:r>
            <w:r w:rsidRPr="00EE6BA9">
              <w:rPr>
                <w:color w:val="522E91"/>
              </w:rPr>
              <w:fldChar w:fldCharType="separate"/>
            </w:r>
            <w:r w:rsidR="00451FB3">
              <w:rPr>
                <w:noProof/>
                <w:color w:val="522E91"/>
              </w:rPr>
              <w:t>3</w:t>
            </w:r>
            <w:r w:rsidRPr="00EE6BA9">
              <w:rPr>
                <w:noProof/>
                <w:color w:val="522E91"/>
              </w:rPr>
              <w:fldChar w:fldCharType="end"/>
            </w:r>
          </w:p>
          <w:p w:rsidR="008376D9" w:rsidRPr="00EE6BA9" w:rsidRDefault="008376D9" w:rsidP="00E651DA">
            <w:pPr>
              <w:pStyle w:val="Footer"/>
              <w:tabs>
                <w:tab w:val="left" w:pos="5891"/>
              </w:tabs>
              <w:rPr>
                <w:color w:val="522E91"/>
              </w:rPr>
            </w:pPr>
            <w:r>
              <w:rPr>
                <w:color w:val="522E91"/>
              </w:rPr>
              <w:tab/>
            </w:r>
            <w:r>
              <w:rPr>
                <w:color w:val="522E91"/>
              </w:rPr>
              <w:tab/>
            </w:r>
          </w:p>
        </w:sdtContent>
      </w:sdt>
      <w:p w:rsidR="008376D9" w:rsidRPr="00064882" w:rsidRDefault="008376D9" w:rsidP="00064882">
        <w:pPr>
          <w:pStyle w:val="Footer"/>
          <w:jc w:val="center"/>
          <w:rPr>
            <w:i/>
            <w:color w:val="522E91"/>
          </w:rPr>
        </w:pPr>
        <w:r w:rsidRPr="00EE6BA9">
          <w:rPr>
            <w:i/>
            <w:color w:val="522E91"/>
          </w:rPr>
          <w:t xml:space="preserve">JFA </w:t>
        </w:r>
        <w:r>
          <w:rPr>
            <w:i/>
            <w:color w:val="522E91"/>
          </w:rPr>
          <w:t>Purple Orange Submission on the adequacy of existing residential care arrangements for young people with severe physical, mental or intellectual disabilities in Australia.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D9" w:rsidRDefault="008376D9" w:rsidP="00DB28C7">
      <w:pPr>
        <w:spacing w:after="0" w:line="240" w:lineRule="auto"/>
      </w:pPr>
      <w:r>
        <w:separator/>
      </w:r>
    </w:p>
    <w:p w:rsidR="008376D9" w:rsidRDefault="008376D9"/>
    <w:p w:rsidR="008376D9" w:rsidRDefault="008376D9" w:rsidP="00031484"/>
  </w:footnote>
  <w:footnote w:type="continuationSeparator" w:id="0">
    <w:p w:rsidR="008376D9" w:rsidRDefault="008376D9" w:rsidP="00DB28C7">
      <w:pPr>
        <w:spacing w:after="0" w:line="240" w:lineRule="auto"/>
      </w:pPr>
      <w:r>
        <w:continuationSeparator/>
      </w:r>
    </w:p>
    <w:p w:rsidR="008376D9" w:rsidRDefault="008376D9"/>
    <w:p w:rsidR="008376D9" w:rsidRDefault="008376D9" w:rsidP="00031484"/>
  </w:footnote>
  <w:footnote w:id="1">
    <w:p w:rsidR="008376D9" w:rsidRPr="002B6111" w:rsidRDefault="008376D9">
      <w:pPr>
        <w:pStyle w:val="FootnoteText"/>
        <w:rPr>
          <w:lang w:val="en-US"/>
        </w:rPr>
      </w:pPr>
      <w:r>
        <w:rPr>
          <w:rStyle w:val="FootnoteReference"/>
        </w:rPr>
        <w:footnoteRef/>
      </w:r>
      <w:r>
        <w:t xml:space="preserve"> Williams, R. (2013), </w:t>
      </w:r>
      <w:r>
        <w:rPr>
          <w:i/>
          <w:iCs/>
        </w:rPr>
        <w:t>Model of Citizenhood Support: 2</w:t>
      </w:r>
      <w:r>
        <w:rPr>
          <w:i/>
          <w:iCs/>
          <w:sz w:val="13"/>
          <w:szCs w:val="13"/>
        </w:rPr>
        <w:t xml:space="preserve">nd </w:t>
      </w:r>
      <w:r>
        <w:rPr>
          <w:i/>
          <w:iCs/>
        </w:rPr>
        <w:t xml:space="preserve">edition, </w:t>
      </w:r>
      <w:r w:rsidRPr="00527A14">
        <w:t xml:space="preserve">Julia Farr Association Inc, Unley South Australia  </w:t>
      </w:r>
    </w:p>
  </w:footnote>
  <w:footnote w:id="2">
    <w:p w:rsidR="008376D9" w:rsidRPr="00FD5D91" w:rsidRDefault="008376D9" w:rsidP="00C108E0">
      <w:pPr>
        <w:pStyle w:val="FootnoteText"/>
        <w:rPr>
          <w:lang w:val="en-US"/>
        </w:rPr>
      </w:pPr>
      <w:r>
        <w:rPr>
          <w:rStyle w:val="FootnoteReference"/>
        </w:rPr>
        <w:footnoteRef/>
      </w:r>
      <w:r>
        <w:t xml:space="preserve"> United Nations, (2006), </w:t>
      </w:r>
      <w:r w:rsidRPr="00FD5D91">
        <w:t>http://www.un.org/disabilities/documents/convention/convoptprot-e.pdf</w:t>
      </w:r>
    </w:p>
  </w:footnote>
  <w:footnote w:id="3">
    <w:p w:rsidR="008376D9" w:rsidRPr="005B1FAA" w:rsidRDefault="008376D9" w:rsidP="001270AE">
      <w:pPr>
        <w:pStyle w:val="FootnoteText"/>
        <w:rPr>
          <w:lang w:val="en-US"/>
        </w:rPr>
      </w:pPr>
      <w:r>
        <w:rPr>
          <w:rStyle w:val="FootnoteReference"/>
        </w:rPr>
        <w:footnoteRef/>
      </w:r>
      <w:r>
        <w:t xml:space="preserve"> </w:t>
      </w:r>
      <w:r>
        <w:rPr>
          <w:lang w:val="en-US"/>
        </w:rPr>
        <w:t xml:space="preserve">Commonwealth of Australia (2011), </w:t>
      </w:r>
      <w:r w:rsidRPr="005B1FAA">
        <w:rPr>
          <w:i/>
          <w:lang w:val="en-US"/>
        </w:rPr>
        <w:t>National Disability Strategy 2010-2020</w:t>
      </w:r>
      <w:r>
        <w:rPr>
          <w:i/>
          <w:lang w:val="en-US"/>
        </w:rPr>
        <w:t xml:space="preserve"> </w:t>
      </w:r>
      <w:r w:rsidRPr="00283A49">
        <w:rPr>
          <w:lang w:val="en-US"/>
        </w:rPr>
        <w:t>pp. 32, 44, 52.</w:t>
      </w:r>
    </w:p>
  </w:footnote>
  <w:footnote w:id="4">
    <w:p w:rsidR="008376D9" w:rsidRPr="00527A14" w:rsidRDefault="008376D9">
      <w:pPr>
        <w:pStyle w:val="FootnoteText"/>
        <w:rPr>
          <w:lang w:val="en-US"/>
        </w:rPr>
      </w:pPr>
      <w:r>
        <w:rPr>
          <w:rStyle w:val="FootnoteReference"/>
        </w:rPr>
        <w:footnoteRef/>
      </w:r>
      <w:r>
        <w:t xml:space="preserve"> Williams, R. (2013), </w:t>
      </w:r>
      <w:r>
        <w:rPr>
          <w:i/>
          <w:iCs/>
        </w:rPr>
        <w:t>Model of Citizenhood Support: 2</w:t>
      </w:r>
      <w:r>
        <w:rPr>
          <w:i/>
          <w:iCs/>
          <w:sz w:val="13"/>
          <w:szCs w:val="13"/>
        </w:rPr>
        <w:t xml:space="preserve">nd </w:t>
      </w:r>
      <w:r>
        <w:rPr>
          <w:i/>
          <w:iCs/>
        </w:rPr>
        <w:t xml:space="preserve">edition, </w:t>
      </w:r>
      <w:r w:rsidRPr="00527A14">
        <w:t xml:space="preserve">Julia Farr Association Inc, Unley South Australia  </w:t>
      </w:r>
    </w:p>
  </w:footnote>
  <w:footnote w:id="5">
    <w:p w:rsidR="008376D9" w:rsidRPr="00527A14" w:rsidRDefault="008376D9" w:rsidP="00246953">
      <w:pPr>
        <w:pStyle w:val="FootnoteText"/>
        <w:rPr>
          <w:i/>
          <w:lang w:val="en-US"/>
        </w:rPr>
      </w:pPr>
      <w:r>
        <w:rPr>
          <w:rStyle w:val="FootnoteReference"/>
        </w:rPr>
        <w:footnoteRef/>
      </w:r>
      <w:r>
        <w:t xml:space="preserve"> </w:t>
      </w:r>
      <w:r>
        <w:rPr>
          <w:lang w:val="en-US"/>
        </w:rPr>
        <w:t xml:space="preserve">South Australian Social Inclusion Board, (2011), </w:t>
      </w:r>
      <w:r w:rsidRPr="00527A14">
        <w:rPr>
          <w:i/>
          <w:lang w:val="en-US"/>
        </w:rPr>
        <w:t>Strong Voices. A Blueprint to Enhance Life and Claim</w:t>
      </w:r>
    </w:p>
    <w:p w:rsidR="008376D9" w:rsidRPr="00CD5C15" w:rsidRDefault="008376D9" w:rsidP="00246953">
      <w:pPr>
        <w:pStyle w:val="FootnoteText"/>
        <w:rPr>
          <w:lang w:val="en-US"/>
        </w:rPr>
      </w:pPr>
      <w:r w:rsidRPr="00527A14">
        <w:rPr>
          <w:i/>
          <w:lang w:val="en-US"/>
        </w:rPr>
        <w:t>the Rights of People with Disability in South Australia</w:t>
      </w:r>
      <w:r>
        <w:rPr>
          <w:lang w:val="en-US"/>
        </w:rPr>
        <w:t>, p. 68.</w:t>
      </w:r>
    </w:p>
  </w:footnote>
  <w:footnote w:id="6">
    <w:p w:rsidR="008376D9" w:rsidRPr="00135885" w:rsidRDefault="008376D9">
      <w:pPr>
        <w:pStyle w:val="FootnoteText"/>
        <w:rPr>
          <w:lang w:val="en-US"/>
        </w:rPr>
      </w:pPr>
      <w:r>
        <w:rPr>
          <w:rStyle w:val="FootnoteReference"/>
        </w:rPr>
        <w:footnoteRef/>
      </w:r>
      <w:r>
        <w:t xml:space="preserve"> </w:t>
      </w:r>
      <w:r>
        <w:rPr>
          <w:lang w:val="en-US"/>
        </w:rPr>
        <w:t xml:space="preserve">Centre for Disability Policy and Research (2014), </w:t>
      </w:r>
      <w:r w:rsidRPr="00AC1E36">
        <w:rPr>
          <w:i/>
          <w:lang w:val="en-US"/>
        </w:rPr>
        <w:t>Cross-Sector Service Coordination for People with High and Complex Needs,</w:t>
      </w:r>
      <w:r>
        <w:rPr>
          <w:lang w:val="en-US"/>
        </w:rPr>
        <w:t xml:space="preserve"> Policy Bulletin 2, p. 3., University of Sydney and </w:t>
      </w:r>
      <w:r>
        <w:t>Young people in Nursing Homes National Alliance</w:t>
      </w:r>
    </w:p>
  </w:footnote>
  <w:footnote w:id="7">
    <w:p w:rsidR="008376D9" w:rsidRPr="000A08FC" w:rsidRDefault="008376D9" w:rsidP="00143086">
      <w:pPr>
        <w:pStyle w:val="FootnoteText"/>
        <w:rPr>
          <w:lang w:val="en-US"/>
        </w:rPr>
      </w:pPr>
      <w:r>
        <w:rPr>
          <w:rStyle w:val="FootnoteReference"/>
        </w:rPr>
        <w:footnoteRef/>
      </w:r>
      <w:r>
        <w:t xml:space="preserve"> </w:t>
      </w:r>
      <w:r w:rsidRPr="000A08FC">
        <w:t xml:space="preserve">Julia Farr Housing </w:t>
      </w:r>
      <w:r>
        <w:t xml:space="preserve">Association </w:t>
      </w:r>
      <w:r w:rsidRPr="000A08FC">
        <w:t>tenants (2015) interview comments</w:t>
      </w:r>
    </w:p>
  </w:footnote>
  <w:footnote w:id="8">
    <w:p w:rsidR="008376D9" w:rsidRPr="008364E7" w:rsidRDefault="008376D9" w:rsidP="00EF782F">
      <w:pPr>
        <w:pStyle w:val="FootnoteText"/>
        <w:rPr>
          <w:lang w:val="en-US"/>
        </w:rPr>
      </w:pPr>
      <w:r>
        <w:rPr>
          <w:rStyle w:val="FootnoteReference"/>
        </w:rPr>
        <w:footnoteRef/>
      </w:r>
      <w:r>
        <w:t xml:space="preserve"> </w:t>
      </w:r>
      <w:r>
        <w:rPr>
          <w:lang w:val="en"/>
        </w:rPr>
        <w:t>AIHW (2013). Australia's Welfare (2013). Cat. no. AUS 174,</w:t>
      </w:r>
      <w:r w:rsidRPr="00283A49">
        <w:rPr>
          <w:lang w:val="en"/>
        </w:rPr>
        <w:t xml:space="preserve"> </w:t>
      </w:r>
      <w:r>
        <w:rPr>
          <w:lang w:val="en"/>
        </w:rPr>
        <w:t>268. Canberra: AIHW, p.268</w:t>
      </w:r>
    </w:p>
  </w:footnote>
  <w:footnote w:id="9">
    <w:p w:rsidR="008376D9" w:rsidRPr="005F760C" w:rsidRDefault="008376D9" w:rsidP="00EF782F">
      <w:pPr>
        <w:pStyle w:val="FootnoteText"/>
        <w:rPr>
          <w:lang w:val="en-US"/>
        </w:rPr>
      </w:pPr>
      <w:r>
        <w:rPr>
          <w:rStyle w:val="FootnoteReference"/>
        </w:rPr>
        <w:footnoteRef/>
      </w:r>
      <w:r>
        <w:t xml:space="preserve"> National People with Disabilities and Carer Council (2009), </w:t>
      </w:r>
      <w:r w:rsidRPr="001270AE">
        <w:rPr>
          <w:i/>
          <w:lang w:val="en-US"/>
        </w:rPr>
        <w:t>Shut Out: The Experience of People with Disabilities and their Families in Australia,</w:t>
      </w:r>
      <w:r>
        <w:rPr>
          <w:lang w:val="en-US"/>
        </w:rPr>
        <w:t xml:space="preserve"> p. 27, Commonwealth of Australia. </w:t>
      </w:r>
    </w:p>
  </w:footnote>
  <w:footnote w:id="10">
    <w:p w:rsidR="008376D9" w:rsidRPr="009F5151" w:rsidRDefault="008376D9" w:rsidP="009C1EA3">
      <w:pPr>
        <w:pStyle w:val="FootnoteText"/>
        <w:rPr>
          <w:lang w:val="en-US"/>
        </w:rPr>
      </w:pPr>
      <w:r>
        <w:rPr>
          <w:rStyle w:val="FootnoteReference"/>
        </w:rPr>
        <w:footnoteRef/>
      </w:r>
      <w:r>
        <w:t xml:space="preserve"> </w:t>
      </w:r>
      <w:r>
        <w:rPr>
          <w:lang w:val="en-US"/>
        </w:rPr>
        <w:t xml:space="preserve">Monash University, (2014), Monash Magazine on-line article </w:t>
      </w:r>
      <w:r w:rsidRPr="009F5151">
        <w:rPr>
          <w:i/>
          <w:lang w:val="en-US"/>
        </w:rPr>
        <w:t>Too Young to be Forgotten</w:t>
      </w:r>
      <w:r>
        <w:rPr>
          <w:lang w:val="en-US"/>
        </w:rPr>
        <w:t xml:space="preserve">  </w:t>
      </w:r>
      <w:r w:rsidRPr="002E16E7">
        <w:rPr>
          <w:lang w:val="en-US"/>
        </w:rPr>
        <w:t>http://monash.edu/monashmag/</w:t>
      </w:r>
      <w:r>
        <w:rPr>
          <w:lang w:val="en-US"/>
        </w:rPr>
        <w:t xml:space="preserve"> </w:t>
      </w:r>
    </w:p>
  </w:footnote>
  <w:footnote w:id="11">
    <w:p w:rsidR="008376D9" w:rsidRPr="009F5151" w:rsidRDefault="008376D9" w:rsidP="009C1EA3">
      <w:pPr>
        <w:pStyle w:val="FootnoteText"/>
        <w:rPr>
          <w:lang w:val="en-US"/>
        </w:rPr>
      </w:pPr>
      <w:r>
        <w:rPr>
          <w:rStyle w:val="FootnoteReference"/>
        </w:rPr>
        <w:footnoteRef/>
      </w:r>
      <w:r>
        <w:t xml:space="preserve"> </w:t>
      </w:r>
      <w:r>
        <w:rPr>
          <w:lang w:val="en-US"/>
        </w:rPr>
        <w:t>Monash University, (2014), ibid.</w:t>
      </w:r>
    </w:p>
  </w:footnote>
  <w:footnote w:id="12">
    <w:p w:rsidR="008376D9" w:rsidRPr="00C92E04" w:rsidRDefault="008376D9" w:rsidP="005A326A">
      <w:pPr>
        <w:pStyle w:val="FootnoteText"/>
        <w:rPr>
          <w:lang w:val="en-US"/>
        </w:rPr>
      </w:pPr>
      <w:r>
        <w:rPr>
          <w:rStyle w:val="FootnoteReference"/>
        </w:rPr>
        <w:footnoteRef/>
      </w:r>
      <w:r>
        <w:t xml:space="preserve"> Young people in Nursing Homes National Alliance (2015), </w:t>
      </w:r>
      <w:r w:rsidRPr="00C92E04">
        <w:t>http://www.ypinh.org.au/statistics</w:t>
      </w:r>
    </w:p>
  </w:footnote>
  <w:footnote w:id="13">
    <w:p w:rsidR="008376D9" w:rsidRPr="00DA6787" w:rsidRDefault="008376D9" w:rsidP="0094271B">
      <w:pPr>
        <w:pStyle w:val="FootnoteText"/>
        <w:rPr>
          <w:lang w:val="en-US"/>
        </w:rPr>
      </w:pPr>
      <w:r>
        <w:rPr>
          <w:rStyle w:val="FootnoteReference"/>
        </w:rPr>
        <w:footnoteRef/>
      </w:r>
      <w:r>
        <w:t xml:space="preserve"> </w:t>
      </w:r>
      <w:r w:rsidRPr="00375229">
        <w:t xml:space="preserve">  Productivity Commission </w:t>
      </w:r>
      <w:r>
        <w:t>(</w:t>
      </w:r>
      <w:r w:rsidRPr="00375229">
        <w:t>2011</w:t>
      </w:r>
      <w:r>
        <w:t>)</w:t>
      </w:r>
      <w:r w:rsidRPr="00375229">
        <w:t>, Disability Care and Support: Executive Summary, Report no. 54,</w:t>
      </w:r>
      <w:r>
        <w:t xml:space="preserve"> p.3,</w:t>
      </w:r>
      <w:r w:rsidRPr="00375229">
        <w:t xml:space="preserve"> Canberra.</w:t>
      </w:r>
    </w:p>
  </w:footnote>
  <w:footnote w:id="14">
    <w:p w:rsidR="008376D9" w:rsidRPr="007A13E7" w:rsidRDefault="008376D9" w:rsidP="00C454CD">
      <w:pPr>
        <w:pStyle w:val="FootnoteText"/>
        <w:rPr>
          <w:lang w:val="en-US"/>
        </w:rPr>
      </w:pPr>
      <w:r>
        <w:rPr>
          <w:rStyle w:val="FootnoteReference"/>
        </w:rPr>
        <w:footnoteRef/>
      </w:r>
      <w:r>
        <w:t xml:space="preserve"> </w:t>
      </w:r>
      <w:r w:rsidRPr="007A13E7">
        <w:t xml:space="preserve"> Julia Farr Housing </w:t>
      </w:r>
      <w:r>
        <w:t xml:space="preserve">Association </w:t>
      </w:r>
      <w:r w:rsidRPr="007A13E7">
        <w:t>tenants (2015) interview comments</w:t>
      </w:r>
    </w:p>
  </w:footnote>
  <w:footnote w:id="15">
    <w:p w:rsidR="008376D9" w:rsidRPr="00DA6787" w:rsidRDefault="008376D9" w:rsidP="00263F95">
      <w:pPr>
        <w:pStyle w:val="FootnoteText"/>
        <w:rPr>
          <w:lang w:val="en-US"/>
        </w:rPr>
      </w:pPr>
      <w:r>
        <w:rPr>
          <w:rStyle w:val="FootnoteReference"/>
        </w:rPr>
        <w:footnoteRef/>
      </w:r>
      <w:r>
        <w:t xml:space="preserve"> </w:t>
      </w:r>
      <w:r>
        <w:rPr>
          <w:lang w:val="en-US"/>
        </w:rPr>
        <w:t>Williams, R (2013), Model of Citizenhood Support Summary Reference Guide, p. 7, Julia Farr Association, Unley South Australia</w:t>
      </w:r>
    </w:p>
  </w:footnote>
  <w:footnote w:id="16">
    <w:p w:rsidR="008376D9" w:rsidRPr="00DA6787" w:rsidRDefault="008376D9" w:rsidP="00263F95">
      <w:pPr>
        <w:pStyle w:val="FootnoteText"/>
        <w:rPr>
          <w:lang w:val="en-US"/>
        </w:rPr>
      </w:pPr>
      <w:r>
        <w:rPr>
          <w:rStyle w:val="FootnoteReference"/>
        </w:rPr>
        <w:footnoteRef/>
      </w:r>
      <w:r>
        <w:t xml:space="preserve"> </w:t>
      </w:r>
      <w:r w:rsidRPr="00DA6787">
        <w:t xml:space="preserve">Productivity Commission (2011), Disability Care and Support: Executive Summary, Report no. 54, </w:t>
      </w:r>
      <w:r>
        <w:t xml:space="preserve">p. 4, </w:t>
      </w:r>
      <w:r w:rsidRPr="00DA6787">
        <w:t>Canberra.</w:t>
      </w:r>
    </w:p>
  </w:footnote>
  <w:footnote w:id="17">
    <w:p w:rsidR="008376D9" w:rsidRPr="003B301E" w:rsidRDefault="008376D9" w:rsidP="00603EBB">
      <w:pPr>
        <w:pStyle w:val="FootnoteText"/>
        <w:rPr>
          <w:lang w:val="en-US"/>
        </w:rPr>
      </w:pPr>
      <w:r>
        <w:rPr>
          <w:rStyle w:val="FootnoteReference"/>
        </w:rPr>
        <w:footnoteRef/>
      </w:r>
      <w:r>
        <w:t xml:space="preserve"> National People with Disabilities and Carer Council (2009), </w:t>
      </w:r>
      <w:r w:rsidRPr="001270AE">
        <w:rPr>
          <w:i/>
          <w:lang w:val="en-US"/>
        </w:rPr>
        <w:t>Shut Out: The Experience of People with Disabilities and their Families in Australia,</w:t>
      </w:r>
      <w:r>
        <w:rPr>
          <w:lang w:val="en-US"/>
        </w:rPr>
        <w:t xml:space="preserve"> p. 27, Commonwealth of Australia. </w:t>
      </w:r>
    </w:p>
  </w:footnote>
  <w:footnote w:id="18">
    <w:p w:rsidR="008376D9" w:rsidRPr="00DA6787" w:rsidRDefault="008376D9">
      <w:pPr>
        <w:pStyle w:val="FootnoteText"/>
        <w:rPr>
          <w:lang w:val="en-US"/>
        </w:rPr>
      </w:pPr>
      <w:r>
        <w:rPr>
          <w:rStyle w:val="FootnoteReference"/>
        </w:rPr>
        <w:footnoteRef/>
      </w:r>
      <w:r>
        <w:t xml:space="preserve"> National People with Disabilities and Carer Council (2009), </w:t>
      </w:r>
      <w:r w:rsidRPr="001270AE">
        <w:rPr>
          <w:i/>
          <w:lang w:val="en-US"/>
        </w:rPr>
        <w:t>Shut Out: The Experience of People with Disabilities and their Families in Australia,</w:t>
      </w:r>
      <w:r>
        <w:rPr>
          <w:lang w:val="en-US"/>
        </w:rPr>
        <w:t xml:space="preserve"> p. 28, Commonwealth of Australia.</w:t>
      </w:r>
    </w:p>
  </w:footnote>
  <w:footnote w:id="19">
    <w:p w:rsidR="002F3A0E" w:rsidRPr="002F3A0E" w:rsidRDefault="002F3A0E">
      <w:pPr>
        <w:pStyle w:val="FootnoteText"/>
        <w:rPr>
          <w:lang w:val="en-US"/>
        </w:rPr>
      </w:pPr>
      <w:r>
        <w:rPr>
          <w:rStyle w:val="FootnoteReference"/>
        </w:rPr>
        <w:footnoteRef/>
      </w:r>
      <w:r>
        <w:t xml:space="preserve"> </w:t>
      </w:r>
      <w:r>
        <w:rPr>
          <w:lang w:val="en-US"/>
        </w:rPr>
        <w:t>Williams, R (2013), Model of Citizenhood Support Summary Reference Guide, p. 7, Julia Farr Association, Unley South Australia</w:t>
      </w:r>
    </w:p>
  </w:footnote>
  <w:footnote w:id="20">
    <w:p w:rsidR="008376D9" w:rsidRPr="00DA463A" w:rsidRDefault="008376D9">
      <w:pPr>
        <w:pStyle w:val="FootnoteText"/>
        <w:rPr>
          <w:lang w:val="en-US"/>
        </w:rPr>
      </w:pPr>
      <w:r>
        <w:rPr>
          <w:rStyle w:val="FootnoteReference"/>
        </w:rPr>
        <w:footnoteRef/>
      </w:r>
      <w:r>
        <w:t xml:space="preserve"> </w:t>
      </w:r>
      <w:r w:rsidRPr="00DA463A">
        <w:t xml:space="preserve">Williams, R. (2013), Model of Citizenhood Support: 2nd edition, Julia Farr Association Inc, Unley South Australia  </w:t>
      </w:r>
    </w:p>
  </w:footnote>
  <w:footnote w:id="21">
    <w:p w:rsidR="008376D9" w:rsidRPr="002A6D28" w:rsidRDefault="008376D9">
      <w:pPr>
        <w:pStyle w:val="FootnoteText"/>
        <w:rPr>
          <w:lang w:val="en-US"/>
        </w:rPr>
      </w:pPr>
      <w:r>
        <w:rPr>
          <w:rStyle w:val="FootnoteReference"/>
        </w:rPr>
        <w:footnoteRef/>
      </w:r>
      <w:r>
        <w:t xml:space="preserve"> </w:t>
      </w:r>
      <w:r>
        <w:rPr>
          <w:lang w:val="en-US"/>
        </w:rPr>
        <w:t>Productivity Commission (2011), Disability care and Support: Executive Summary, Report no 54, p. 4</w:t>
      </w:r>
    </w:p>
  </w:footnote>
  <w:footnote w:id="22">
    <w:p w:rsidR="008376D9" w:rsidRPr="00FE33A1" w:rsidRDefault="008376D9">
      <w:pPr>
        <w:pStyle w:val="FootnoteText"/>
        <w:rPr>
          <w:lang w:val="en-US"/>
        </w:rPr>
      </w:pPr>
      <w:r>
        <w:rPr>
          <w:rStyle w:val="FootnoteReference"/>
        </w:rPr>
        <w:footnoteRef/>
      </w:r>
      <w:r>
        <w:t xml:space="preserve"> NDIS (2015) </w:t>
      </w:r>
      <w:r w:rsidRPr="00FE33A1">
        <w:rPr>
          <w:i/>
        </w:rPr>
        <w:t>What is the NDIS,</w:t>
      </w:r>
      <w:r>
        <w:t xml:space="preserve">  </w:t>
      </w:r>
      <w:r w:rsidRPr="00FE33A1">
        <w:t>http://www.ndis.gov.au/document/811</w:t>
      </w:r>
    </w:p>
  </w:footnote>
  <w:footnote w:id="23">
    <w:p w:rsidR="008376D9" w:rsidRPr="00DF2983" w:rsidRDefault="008376D9">
      <w:pPr>
        <w:pStyle w:val="FootnoteText"/>
        <w:rPr>
          <w:lang w:val="en-US"/>
        </w:rPr>
      </w:pPr>
      <w:r>
        <w:rPr>
          <w:rStyle w:val="FootnoteReference"/>
        </w:rPr>
        <w:footnoteRef/>
      </w:r>
      <w:r>
        <w:t xml:space="preserve"> </w:t>
      </w:r>
      <w:r w:rsidRPr="00DF2983">
        <w:t>Julia Farr Housing Association tenants (2015) interview comments</w:t>
      </w:r>
    </w:p>
  </w:footnote>
  <w:footnote w:id="24">
    <w:p w:rsidR="008376D9" w:rsidRPr="00533F82" w:rsidRDefault="008376D9">
      <w:pPr>
        <w:pStyle w:val="FootnoteText"/>
        <w:rPr>
          <w:lang w:val="en-US"/>
        </w:rPr>
      </w:pPr>
      <w:r>
        <w:rPr>
          <w:rStyle w:val="FootnoteReference"/>
        </w:rPr>
        <w:footnoteRef/>
      </w:r>
      <w:r>
        <w:t xml:space="preserve"> Julia Farr group (2015) </w:t>
      </w:r>
      <w:r w:rsidRPr="00533F82">
        <w:t>http://www.jfm.org.au/jfa-general-distribution-fund/social-landlord/</w:t>
      </w:r>
    </w:p>
  </w:footnote>
  <w:footnote w:id="25">
    <w:p w:rsidR="008376D9" w:rsidRPr="00C13F98" w:rsidRDefault="008376D9" w:rsidP="00533F82">
      <w:pPr>
        <w:pStyle w:val="FootnoteText"/>
        <w:rPr>
          <w:i/>
          <w:lang w:val="en-US"/>
        </w:rPr>
      </w:pPr>
      <w:r>
        <w:rPr>
          <w:rStyle w:val="FootnoteReference"/>
        </w:rPr>
        <w:footnoteRef/>
      </w:r>
      <w:r>
        <w:t xml:space="preserve"> </w:t>
      </w:r>
      <w:r>
        <w:rPr>
          <w:lang w:val="en-US"/>
        </w:rPr>
        <w:t xml:space="preserve">Centre for Housing, Urban and Regional Planning (2012), </w:t>
      </w:r>
      <w:r w:rsidRPr="00C13F98">
        <w:rPr>
          <w:i/>
          <w:lang w:val="en-US"/>
        </w:rPr>
        <w:t>Being a Social Landlord in the 21st Century:</w:t>
      </w:r>
    </w:p>
    <w:p w:rsidR="008376D9" w:rsidRPr="00C13F98" w:rsidRDefault="008376D9" w:rsidP="00533F82">
      <w:pPr>
        <w:pStyle w:val="FootnoteText"/>
        <w:rPr>
          <w:lang w:val="en-US"/>
        </w:rPr>
      </w:pPr>
      <w:r w:rsidRPr="00C13F98">
        <w:rPr>
          <w:i/>
          <w:lang w:val="en-US"/>
        </w:rPr>
        <w:t>Insights from Tenant and International Experience</w:t>
      </w:r>
      <w:r>
        <w:rPr>
          <w:i/>
          <w:lang w:val="en-US"/>
        </w:rPr>
        <w:t xml:space="preserve">, </w:t>
      </w:r>
      <w:r w:rsidRPr="008D1FC9">
        <w:rPr>
          <w:lang w:val="en-US"/>
        </w:rPr>
        <w:t>p. 25</w:t>
      </w:r>
      <w:r>
        <w:rPr>
          <w:i/>
          <w:lang w:val="en-US"/>
        </w:rPr>
        <w:t xml:space="preserve">, </w:t>
      </w:r>
      <w:r>
        <w:rPr>
          <w:lang w:val="en-US"/>
        </w:rPr>
        <w:t>University of Adelaide.</w:t>
      </w:r>
    </w:p>
  </w:footnote>
  <w:footnote w:id="26">
    <w:p w:rsidR="008376D9" w:rsidRPr="00DA27AA" w:rsidRDefault="008376D9" w:rsidP="00AB4564">
      <w:pPr>
        <w:pStyle w:val="FootnoteText"/>
        <w:rPr>
          <w:lang w:val="en-US"/>
        </w:rPr>
      </w:pPr>
      <w:r>
        <w:rPr>
          <w:rStyle w:val="FootnoteReference"/>
        </w:rPr>
        <w:footnoteRef/>
      </w:r>
      <w:r>
        <w:t xml:space="preserve"> Australian Government Department of Social Services (2015), </w:t>
      </w:r>
      <w:r w:rsidRPr="00DA27AA">
        <w:t>https://www.dss.gov.au/our-responsibilities/disability-and-carers/program-services/for-people-with-disability/younger-people-with-disability-in-residential-aged-care-initiative</w:t>
      </w:r>
    </w:p>
  </w:footnote>
  <w:footnote w:id="27">
    <w:p w:rsidR="008376D9" w:rsidRPr="00785E0A" w:rsidRDefault="008376D9" w:rsidP="00DF2983">
      <w:pPr>
        <w:pStyle w:val="FootnoteText"/>
        <w:rPr>
          <w:lang w:val="en-US"/>
        </w:rPr>
      </w:pPr>
      <w:r>
        <w:rPr>
          <w:rStyle w:val="FootnoteReference"/>
        </w:rPr>
        <w:footnoteRef/>
      </w:r>
      <w:r>
        <w:t xml:space="preserve"> Julia Farr Housing Association (2008), </w:t>
      </w:r>
      <w:r>
        <w:rPr>
          <w:lang w:val="en-US"/>
        </w:rPr>
        <w:t xml:space="preserve">Presentation to SA </w:t>
      </w:r>
      <w:r w:rsidRPr="00785E0A">
        <w:rPr>
          <w:i/>
          <w:lang w:val="en-US"/>
        </w:rPr>
        <w:t>Disability Conference: Shifting the Paradigms</w:t>
      </w:r>
      <w:r>
        <w:rPr>
          <w:lang w:val="en-US"/>
        </w:rPr>
        <w:t>.</w:t>
      </w:r>
    </w:p>
  </w:footnote>
  <w:footnote w:id="28">
    <w:p w:rsidR="008376D9" w:rsidRPr="0003413D" w:rsidRDefault="008376D9" w:rsidP="007A13E7">
      <w:pPr>
        <w:pStyle w:val="FootnoteText"/>
        <w:rPr>
          <w:lang w:val="en-US"/>
        </w:rPr>
      </w:pPr>
      <w:r>
        <w:rPr>
          <w:rStyle w:val="FootnoteReference"/>
        </w:rPr>
        <w:footnoteRef/>
      </w:r>
      <w:r>
        <w:t xml:space="preserve"> </w:t>
      </w:r>
      <w:r>
        <w:rPr>
          <w:lang w:val="en-US"/>
        </w:rPr>
        <w:t xml:space="preserve"> Julia Farr Housing Association tenants (2015) interview comments</w:t>
      </w:r>
    </w:p>
  </w:footnote>
  <w:footnote w:id="29">
    <w:p w:rsidR="008376D9" w:rsidRPr="007A13E7" w:rsidRDefault="008376D9">
      <w:pPr>
        <w:pStyle w:val="FootnoteText"/>
        <w:rPr>
          <w:lang w:val="en-US"/>
        </w:rPr>
      </w:pPr>
      <w:r>
        <w:rPr>
          <w:rStyle w:val="FootnoteReference"/>
        </w:rPr>
        <w:footnoteRef/>
      </w:r>
      <w:r>
        <w:t xml:space="preserve"> </w:t>
      </w:r>
      <w:r>
        <w:rPr>
          <w:lang w:val="en-US"/>
        </w:rPr>
        <w:t xml:space="preserve"> Julia Farr Housing Association tenants (2015) interview comments</w:t>
      </w:r>
    </w:p>
  </w:footnote>
  <w:footnote w:id="30">
    <w:p w:rsidR="008376D9" w:rsidRPr="002B6111" w:rsidRDefault="008376D9" w:rsidP="007D220B">
      <w:pPr>
        <w:pStyle w:val="FootnoteText"/>
        <w:rPr>
          <w:lang w:val="en-US"/>
        </w:rPr>
      </w:pPr>
      <w:r>
        <w:rPr>
          <w:rStyle w:val="FootnoteReference"/>
        </w:rPr>
        <w:footnoteRef/>
      </w:r>
      <w:r>
        <w:t xml:space="preserve"> Williams, R. (2013), </w:t>
      </w:r>
      <w:r>
        <w:rPr>
          <w:i/>
          <w:iCs/>
        </w:rPr>
        <w:t>Model of Citizenhood Support: 2</w:t>
      </w:r>
      <w:r>
        <w:rPr>
          <w:i/>
          <w:iCs/>
          <w:sz w:val="13"/>
          <w:szCs w:val="13"/>
        </w:rPr>
        <w:t xml:space="preserve">nd </w:t>
      </w:r>
      <w:r>
        <w:rPr>
          <w:i/>
          <w:iCs/>
        </w:rPr>
        <w:t xml:space="preserve">edition, </w:t>
      </w:r>
      <w:r w:rsidRPr="00527A14">
        <w:t xml:space="preserve">Julia Farr Association Inc, Unley South Australia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AC9"/>
    <w:multiLevelType w:val="hybridMultilevel"/>
    <w:tmpl w:val="BD8E6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716DCE"/>
    <w:multiLevelType w:val="hybridMultilevel"/>
    <w:tmpl w:val="E8580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EA6C1C"/>
    <w:multiLevelType w:val="hybridMultilevel"/>
    <w:tmpl w:val="67F2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9F06DF5"/>
    <w:multiLevelType w:val="multilevel"/>
    <w:tmpl w:val="B9DA52A8"/>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1628FA"/>
    <w:multiLevelType w:val="hybridMultilevel"/>
    <w:tmpl w:val="685E7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63333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0CA01881"/>
    <w:multiLevelType w:val="hybridMultilevel"/>
    <w:tmpl w:val="7CF8A7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0E9063D5"/>
    <w:multiLevelType w:val="hybridMultilevel"/>
    <w:tmpl w:val="44722B2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1E9496E"/>
    <w:multiLevelType w:val="hybridMultilevel"/>
    <w:tmpl w:val="67583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2F8595F"/>
    <w:multiLevelType w:val="hybridMultilevel"/>
    <w:tmpl w:val="CA4681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CBF7AEB"/>
    <w:multiLevelType w:val="multilevel"/>
    <w:tmpl w:val="ABE4F254"/>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D7C4EB9"/>
    <w:multiLevelType w:val="multilevel"/>
    <w:tmpl w:val="9F40C5C8"/>
    <w:lvl w:ilvl="0">
      <w:start w:val="2"/>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nsid w:val="1E794BB5"/>
    <w:multiLevelType w:val="hybridMultilevel"/>
    <w:tmpl w:val="52BED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C56D9F"/>
    <w:multiLevelType w:val="multilevel"/>
    <w:tmpl w:val="93E426F0"/>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0A04419"/>
    <w:multiLevelType w:val="multilevel"/>
    <w:tmpl w:val="6B6EB9B6"/>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4AD4960"/>
    <w:multiLevelType w:val="hybridMultilevel"/>
    <w:tmpl w:val="740C8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6E14797"/>
    <w:multiLevelType w:val="hybridMultilevel"/>
    <w:tmpl w:val="8A7AF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9862887"/>
    <w:multiLevelType w:val="multilevel"/>
    <w:tmpl w:val="E7A2D498"/>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A496410"/>
    <w:multiLevelType w:val="hybridMultilevel"/>
    <w:tmpl w:val="29B42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A9E1FBE"/>
    <w:multiLevelType w:val="hybridMultilevel"/>
    <w:tmpl w:val="26587C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F7C5DDD"/>
    <w:multiLevelType w:val="multilevel"/>
    <w:tmpl w:val="AC723E3A"/>
    <w:lvl w:ilvl="0">
      <w:start w:val="1"/>
      <w:numFmt w:val="decimal"/>
      <w:lvlText w:val="%1."/>
      <w:lvlJc w:val="left"/>
      <w:pPr>
        <w:ind w:left="720" w:hanging="360"/>
      </w:pPr>
    </w:lvl>
    <w:lvl w:ilvl="1">
      <w:start w:val="3"/>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3">
    <w:nsid w:val="30A43E09"/>
    <w:multiLevelType w:val="hybridMultilevel"/>
    <w:tmpl w:val="4F6C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536137D"/>
    <w:multiLevelType w:val="hybridMultilevel"/>
    <w:tmpl w:val="68026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EE093E"/>
    <w:multiLevelType w:val="hybridMultilevel"/>
    <w:tmpl w:val="879A8BD4"/>
    <w:lvl w:ilvl="0" w:tplc="D75C6A08">
      <w:numFmt w:val="bullet"/>
      <w:lvlText w:val="•"/>
      <w:lvlJc w:val="left"/>
      <w:pPr>
        <w:ind w:left="1125" w:hanging="765"/>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285A3F"/>
    <w:multiLevelType w:val="hybridMultilevel"/>
    <w:tmpl w:val="FA287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E267156"/>
    <w:multiLevelType w:val="hybridMultilevel"/>
    <w:tmpl w:val="A5C4E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3914878"/>
    <w:multiLevelType w:val="hybridMultilevel"/>
    <w:tmpl w:val="EB12B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5434FA7"/>
    <w:multiLevelType w:val="hybridMultilevel"/>
    <w:tmpl w:val="00AABA8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49C84FA4"/>
    <w:multiLevelType w:val="hybridMultilevel"/>
    <w:tmpl w:val="08DEA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8E5B93"/>
    <w:multiLevelType w:val="hybridMultilevel"/>
    <w:tmpl w:val="D24A187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nsid w:val="4C4E1D2C"/>
    <w:multiLevelType w:val="hybridMultilevel"/>
    <w:tmpl w:val="CA04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E1F3487"/>
    <w:multiLevelType w:val="hybridMultilevel"/>
    <w:tmpl w:val="AC1E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ED7A95"/>
    <w:multiLevelType w:val="hybridMultilevel"/>
    <w:tmpl w:val="0542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5B7F05"/>
    <w:multiLevelType w:val="hybridMultilevel"/>
    <w:tmpl w:val="4746D1A0"/>
    <w:lvl w:ilvl="0" w:tplc="D75C6A08">
      <w:numFmt w:val="bullet"/>
      <w:lvlText w:val="•"/>
      <w:lvlJc w:val="left"/>
      <w:pPr>
        <w:ind w:left="1125" w:hanging="765"/>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6C4058"/>
    <w:multiLevelType w:val="hybridMultilevel"/>
    <w:tmpl w:val="4340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205073"/>
    <w:multiLevelType w:val="hybridMultilevel"/>
    <w:tmpl w:val="43125C7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0CF76F3"/>
    <w:multiLevelType w:val="hybridMultilevel"/>
    <w:tmpl w:val="3C0E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BD7E9C"/>
    <w:multiLevelType w:val="hybridMultilevel"/>
    <w:tmpl w:val="0CAA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932840"/>
    <w:multiLevelType w:val="hybridMultilevel"/>
    <w:tmpl w:val="34D2B7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791E4670"/>
    <w:multiLevelType w:val="hybridMultilevel"/>
    <w:tmpl w:val="CE726ED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6"/>
  </w:num>
  <w:num w:numId="4">
    <w:abstractNumId w:val="5"/>
  </w:num>
  <w:num w:numId="5">
    <w:abstractNumId w:val="28"/>
  </w:num>
  <w:num w:numId="6">
    <w:abstractNumId w:val="37"/>
  </w:num>
  <w:num w:numId="7">
    <w:abstractNumId w:val="33"/>
  </w:num>
  <w:num w:numId="8">
    <w:abstractNumId w:val="24"/>
  </w:num>
  <w:num w:numId="9">
    <w:abstractNumId w:val="2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11"/>
  </w:num>
  <w:num w:numId="20">
    <w:abstractNumId w:val="15"/>
  </w:num>
  <w:num w:numId="21">
    <w:abstractNumId w:val="12"/>
  </w:num>
  <w:num w:numId="22">
    <w:abstractNumId w:val="10"/>
  </w:num>
  <w:num w:numId="23">
    <w:abstractNumId w:val="41"/>
  </w:num>
  <w:num w:numId="24">
    <w:abstractNumId w:val="39"/>
  </w:num>
  <w:num w:numId="25">
    <w:abstractNumId w:val="6"/>
  </w:num>
  <w:num w:numId="26">
    <w:abstractNumId w:val="2"/>
  </w:num>
  <w:num w:numId="27">
    <w:abstractNumId w:val="7"/>
  </w:num>
  <w:num w:numId="28">
    <w:abstractNumId w:val="31"/>
  </w:num>
  <w:num w:numId="29">
    <w:abstractNumId w:val="3"/>
  </w:num>
  <w:num w:numId="30">
    <w:abstractNumId w:val="29"/>
  </w:num>
  <w:num w:numId="31">
    <w:abstractNumId w:val="9"/>
  </w:num>
  <w:num w:numId="32">
    <w:abstractNumId w:val="23"/>
  </w:num>
  <w:num w:numId="33">
    <w:abstractNumId w:val="35"/>
  </w:num>
  <w:num w:numId="34">
    <w:abstractNumId w:val="25"/>
  </w:num>
  <w:num w:numId="35">
    <w:abstractNumId w:val="13"/>
  </w:num>
  <w:num w:numId="36">
    <w:abstractNumId w:val="17"/>
  </w:num>
  <w:num w:numId="37">
    <w:abstractNumId w:val="1"/>
  </w:num>
  <w:num w:numId="38">
    <w:abstractNumId w:val="36"/>
  </w:num>
  <w:num w:numId="39">
    <w:abstractNumId w:val="32"/>
  </w:num>
  <w:num w:numId="40">
    <w:abstractNumId w:val="21"/>
  </w:num>
  <w:num w:numId="41">
    <w:abstractNumId w:val="8"/>
  </w:num>
  <w:num w:numId="42">
    <w:abstractNumId w:val="38"/>
  </w:num>
  <w:num w:numId="43">
    <w:abstractNumId w:val="40"/>
  </w:num>
  <w:num w:numId="44">
    <w:abstractNumId w:val="42"/>
  </w:num>
  <w:num w:numId="45">
    <w:abstractNumId w:val="1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62"/>
    <w:rsid w:val="00002191"/>
    <w:rsid w:val="000040A8"/>
    <w:rsid w:val="00007FD5"/>
    <w:rsid w:val="00031484"/>
    <w:rsid w:val="00032809"/>
    <w:rsid w:val="0003413D"/>
    <w:rsid w:val="0003500E"/>
    <w:rsid w:val="000358CA"/>
    <w:rsid w:val="00041253"/>
    <w:rsid w:val="00041A4A"/>
    <w:rsid w:val="00041DCE"/>
    <w:rsid w:val="000430D0"/>
    <w:rsid w:val="00043ED2"/>
    <w:rsid w:val="000534CB"/>
    <w:rsid w:val="00064882"/>
    <w:rsid w:val="0008442C"/>
    <w:rsid w:val="00084D45"/>
    <w:rsid w:val="000916A5"/>
    <w:rsid w:val="000928A0"/>
    <w:rsid w:val="0009379F"/>
    <w:rsid w:val="00094AD0"/>
    <w:rsid w:val="000A052C"/>
    <w:rsid w:val="000A08FC"/>
    <w:rsid w:val="000A19EA"/>
    <w:rsid w:val="000B4228"/>
    <w:rsid w:val="000B4A99"/>
    <w:rsid w:val="000B7B95"/>
    <w:rsid w:val="000C1726"/>
    <w:rsid w:val="000C773D"/>
    <w:rsid w:val="000D251B"/>
    <w:rsid w:val="000D4F9E"/>
    <w:rsid w:val="000D68B9"/>
    <w:rsid w:val="000D6C49"/>
    <w:rsid w:val="000D76EE"/>
    <w:rsid w:val="000E043F"/>
    <w:rsid w:val="000E4E56"/>
    <w:rsid w:val="00102B54"/>
    <w:rsid w:val="00111FCE"/>
    <w:rsid w:val="001143FF"/>
    <w:rsid w:val="00117034"/>
    <w:rsid w:val="001270AE"/>
    <w:rsid w:val="00131F96"/>
    <w:rsid w:val="00135885"/>
    <w:rsid w:val="001368C6"/>
    <w:rsid w:val="00141A10"/>
    <w:rsid w:val="001424AD"/>
    <w:rsid w:val="00143086"/>
    <w:rsid w:val="00143A9D"/>
    <w:rsid w:val="0014753E"/>
    <w:rsid w:val="00147750"/>
    <w:rsid w:val="00152DE1"/>
    <w:rsid w:val="00155D76"/>
    <w:rsid w:val="0017060B"/>
    <w:rsid w:val="00174E68"/>
    <w:rsid w:val="001818FF"/>
    <w:rsid w:val="00185CAF"/>
    <w:rsid w:val="001915F8"/>
    <w:rsid w:val="001923FE"/>
    <w:rsid w:val="001A0334"/>
    <w:rsid w:val="001A0685"/>
    <w:rsid w:val="001B4B53"/>
    <w:rsid w:val="001B4D9A"/>
    <w:rsid w:val="001B524E"/>
    <w:rsid w:val="001B68C5"/>
    <w:rsid w:val="001C1AD1"/>
    <w:rsid w:val="001C1F59"/>
    <w:rsid w:val="001C36A6"/>
    <w:rsid w:val="001C3F43"/>
    <w:rsid w:val="001C5B31"/>
    <w:rsid w:val="001D09AD"/>
    <w:rsid w:val="001D3C3D"/>
    <w:rsid w:val="001E2EB4"/>
    <w:rsid w:val="00205267"/>
    <w:rsid w:val="0020581C"/>
    <w:rsid w:val="002200B9"/>
    <w:rsid w:val="00221108"/>
    <w:rsid w:val="00221151"/>
    <w:rsid w:val="00221AEE"/>
    <w:rsid w:val="00227B6D"/>
    <w:rsid w:val="00233408"/>
    <w:rsid w:val="00235344"/>
    <w:rsid w:val="002359D3"/>
    <w:rsid w:val="002377ED"/>
    <w:rsid w:val="00244C7B"/>
    <w:rsid w:val="00246953"/>
    <w:rsid w:val="00251D0F"/>
    <w:rsid w:val="00253D6E"/>
    <w:rsid w:val="002553CD"/>
    <w:rsid w:val="00261C07"/>
    <w:rsid w:val="00263F95"/>
    <w:rsid w:val="00266C07"/>
    <w:rsid w:val="00272916"/>
    <w:rsid w:val="002740A3"/>
    <w:rsid w:val="0027466B"/>
    <w:rsid w:val="002754F9"/>
    <w:rsid w:val="00276509"/>
    <w:rsid w:val="00276A8A"/>
    <w:rsid w:val="002778B1"/>
    <w:rsid w:val="00283A49"/>
    <w:rsid w:val="0028488A"/>
    <w:rsid w:val="002916EF"/>
    <w:rsid w:val="00293337"/>
    <w:rsid w:val="00293EF8"/>
    <w:rsid w:val="002948E9"/>
    <w:rsid w:val="002A6D28"/>
    <w:rsid w:val="002A78C3"/>
    <w:rsid w:val="002B2D15"/>
    <w:rsid w:val="002B3D28"/>
    <w:rsid w:val="002B414D"/>
    <w:rsid w:val="002B6111"/>
    <w:rsid w:val="002C1E38"/>
    <w:rsid w:val="002C7B01"/>
    <w:rsid w:val="002D35F6"/>
    <w:rsid w:val="002D41E2"/>
    <w:rsid w:val="002D49E8"/>
    <w:rsid w:val="002D744C"/>
    <w:rsid w:val="002E13CB"/>
    <w:rsid w:val="002E16E7"/>
    <w:rsid w:val="002E6A61"/>
    <w:rsid w:val="002F03C2"/>
    <w:rsid w:val="002F1E95"/>
    <w:rsid w:val="002F3576"/>
    <w:rsid w:val="002F3A0E"/>
    <w:rsid w:val="003023A4"/>
    <w:rsid w:val="0031387C"/>
    <w:rsid w:val="003170D9"/>
    <w:rsid w:val="00321582"/>
    <w:rsid w:val="0032782C"/>
    <w:rsid w:val="00331C74"/>
    <w:rsid w:val="0033365A"/>
    <w:rsid w:val="003358E8"/>
    <w:rsid w:val="00335C71"/>
    <w:rsid w:val="00340E47"/>
    <w:rsid w:val="00345C45"/>
    <w:rsid w:val="00360443"/>
    <w:rsid w:val="00361321"/>
    <w:rsid w:val="00361D52"/>
    <w:rsid w:val="00364BEF"/>
    <w:rsid w:val="0036696E"/>
    <w:rsid w:val="00367647"/>
    <w:rsid w:val="00370463"/>
    <w:rsid w:val="00372151"/>
    <w:rsid w:val="00375185"/>
    <w:rsid w:val="00375229"/>
    <w:rsid w:val="00381C8B"/>
    <w:rsid w:val="00393C2C"/>
    <w:rsid w:val="00394278"/>
    <w:rsid w:val="003A1FB7"/>
    <w:rsid w:val="003A22F1"/>
    <w:rsid w:val="003A457F"/>
    <w:rsid w:val="003A4830"/>
    <w:rsid w:val="003A5D56"/>
    <w:rsid w:val="003A6742"/>
    <w:rsid w:val="003A7377"/>
    <w:rsid w:val="003A737D"/>
    <w:rsid w:val="003C19F7"/>
    <w:rsid w:val="003D132D"/>
    <w:rsid w:val="003D52B1"/>
    <w:rsid w:val="003F0DC7"/>
    <w:rsid w:val="003F185F"/>
    <w:rsid w:val="003F40B5"/>
    <w:rsid w:val="003F4AB3"/>
    <w:rsid w:val="003F500E"/>
    <w:rsid w:val="004030DD"/>
    <w:rsid w:val="004113D2"/>
    <w:rsid w:val="004158BA"/>
    <w:rsid w:val="00427F6F"/>
    <w:rsid w:val="00430114"/>
    <w:rsid w:val="004408C6"/>
    <w:rsid w:val="0044678A"/>
    <w:rsid w:val="00447E60"/>
    <w:rsid w:val="00451FB3"/>
    <w:rsid w:val="004538AB"/>
    <w:rsid w:val="004606E9"/>
    <w:rsid w:val="00462525"/>
    <w:rsid w:val="00465AD0"/>
    <w:rsid w:val="00472C45"/>
    <w:rsid w:val="004773FF"/>
    <w:rsid w:val="00484B01"/>
    <w:rsid w:val="00486C2C"/>
    <w:rsid w:val="004900F3"/>
    <w:rsid w:val="00491966"/>
    <w:rsid w:val="00496FA3"/>
    <w:rsid w:val="004A08E1"/>
    <w:rsid w:val="004A6FCF"/>
    <w:rsid w:val="004B1F74"/>
    <w:rsid w:val="004B5BA4"/>
    <w:rsid w:val="004D646F"/>
    <w:rsid w:val="004E4002"/>
    <w:rsid w:val="004E4B9C"/>
    <w:rsid w:val="004E589D"/>
    <w:rsid w:val="004E6B4B"/>
    <w:rsid w:val="004E7066"/>
    <w:rsid w:val="004F72CB"/>
    <w:rsid w:val="00503B84"/>
    <w:rsid w:val="00512FC2"/>
    <w:rsid w:val="005144C3"/>
    <w:rsid w:val="00515799"/>
    <w:rsid w:val="00516A97"/>
    <w:rsid w:val="005206AC"/>
    <w:rsid w:val="00521A5D"/>
    <w:rsid w:val="00521DC6"/>
    <w:rsid w:val="00525BE0"/>
    <w:rsid w:val="00527A14"/>
    <w:rsid w:val="00533F82"/>
    <w:rsid w:val="005366B7"/>
    <w:rsid w:val="0054393D"/>
    <w:rsid w:val="0054601F"/>
    <w:rsid w:val="00546420"/>
    <w:rsid w:val="00555B04"/>
    <w:rsid w:val="005564F9"/>
    <w:rsid w:val="00557AA2"/>
    <w:rsid w:val="00572E17"/>
    <w:rsid w:val="00581597"/>
    <w:rsid w:val="00591D39"/>
    <w:rsid w:val="0059358A"/>
    <w:rsid w:val="00596E99"/>
    <w:rsid w:val="005A1D95"/>
    <w:rsid w:val="005A326A"/>
    <w:rsid w:val="005A3468"/>
    <w:rsid w:val="005B1FAA"/>
    <w:rsid w:val="005B2463"/>
    <w:rsid w:val="005C2C8A"/>
    <w:rsid w:val="005C4DCB"/>
    <w:rsid w:val="005D2CFA"/>
    <w:rsid w:val="005D5CA3"/>
    <w:rsid w:val="005E1134"/>
    <w:rsid w:val="005E1E25"/>
    <w:rsid w:val="005F050A"/>
    <w:rsid w:val="005F0CE4"/>
    <w:rsid w:val="005F155A"/>
    <w:rsid w:val="005F210F"/>
    <w:rsid w:val="00603EBB"/>
    <w:rsid w:val="00607815"/>
    <w:rsid w:val="00615E97"/>
    <w:rsid w:val="00616A86"/>
    <w:rsid w:val="0061746B"/>
    <w:rsid w:val="00622701"/>
    <w:rsid w:val="00622A7A"/>
    <w:rsid w:val="00633879"/>
    <w:rsid w:val="0064002E"/>
    <w:rsid w:val="00640BAA"/>
    <w:rsid w:val="00654853"/>
    <w:rsid w:val="006556A4"/>
    <w:rsid w:val="006575A5"/>
    <w:rsid w:val="0065765B"/>
    <w:rsid w:val="00660392"/>
    <w:rsid w:val="006613D3"/>
    <w:rsid w:val="00661920"/>
    <w:rsid w:val="00663B40"/>
    <w:rsid w:val="00665DF5"/>
    <w:rsid w:val="00670BBA"/>
    <w:rsid w:val="00670D04"/>
    <w:rsid w:val="00673484"/>
    <w:rsid w:val="00674F8D"/>
    <w:rsid w:val="00680844"/>
    <w:rsid w:val="0068542B"/>
    <w:rsid w:val="006906D4"/>
    <w:rsid w:val="00690A97"/>
    <w:rsid w:val="00694EC9"/>
    <w:rsid w:val="00695677"/>
    <w:rsid w:val="006A0DA6"/>
    <w:rsid w:val="006A3305"/>
    <w:rsid w:val="006A3B5A"/>
    <w:rsid w:val="006A6966"/>
    <w:rsid w:val="006B1BDD"/>
    <w:rsid w:val="006B1E40"/>
    <w:rsid w:val="006B384B"/>
    <w:rsid w:val="006C471F"/>
    <w:rsid w:val="006C516A"/>
    <w:rsid w:val="006C5C3F"/>
    <w:rsid w:val="006C6ACB"/>
    <w:rsid w:val="006C74C6"/>
    <w:rsid w:val="006D09E6"/>
    <w:rsid w:val="006D3338"/>
    <w:rsid w:val="006D46A7"/>
    <w:rsid w:val="006E1ECD"/>
    <w:rsid w:val="006E33B9"/>
    <w:rsid w:val="006E7D08"/>
    <w:rsid w:val="006F3B39"/>
    <w:rsid w:val="006F7295"/>
    <w:rsid w:val="00700FF5"/>
    <w:rsid w:val="00701716"/>
    <w:rsid w:val="007063CB"/>
    <w:rsid w:val="007110F7"/>
    <w:rsid w:val="007113A0"/>
    <w:rsid w:val="00712ED1"/>
    <w:rsid w:val="00713626"/>
    <w:rsid w:val="00716A29"/>
    <w:rsid w:val="00722D4F"/>
    <w:rsid w:val="007237C2"/>
    <w:rsid w:val="00725879"/>
    <w:rsid w:val="00726B8E"/>
    <w:rsid w:val="00731201"/>
    <w:rsid w:val="0073159F"/>
    <w:rsid w:val="0073329C"/>
    <w:rsid w:val="00745024"/>
    <w:rsid w:val="0074554C"/>
    <w:rsid w:val="007456D5"/>
    <w:rsid w:val="007465C5"/>
    <w:rsid w:val="00752DD9"/>
    <w:rsid w:val="007614A3"/>
    <w:rsid w:val="00764ADD"/>
    <w:rsid w:val="00767E36"/>
    <w:rsid w:val="00773BA4"/>
    <w:rsid w:val="00785E0A"/>
    <w:rsid w:val="007901D4"/>
    <w:rsid w:val="00794EA7"/>
    <w:rsid w:val="0079505C"/>
    <w:rsid w:val="007A13E7"/>
    <w:rsid w:val="007B519D"/>
    <w:rsid w:val="007C0346"/>
    <w:rsid w:val="007C0F0E"/>
    <w:rsid w:val="007C3D88"/>
    <w:rsid w:val="007C791D"/>
    <w:rsid w:val="007D0503"/>
    <w:rsid w:val="007D06E5"/>
    <w:rsid w:val="007D1678"/>
    <w:rsid w:val="007D220B"/>
    <w:rsid w:val="007D4AEF"/>
    <w:rsid w:val="007D4F11"/>
    <w:rsid w:val="007D611B"/>
    <w:rsid w:val="007E4DAC"/>
    <w:rsid w:val="007F4BF3"/>
    <w:rsid w:val="00800916"/>
    <w:rsid w:val="0080554E"/>
    <w:rsid w:val="00805964"/>
    <w:rsid w:val="00821948"/>
    <w:rsid w:val="008226AF"/>
    <w:rsid w:val="00830D90"/>
    <w:rsid w:val="00832362"/>
    <w:rsid w:val="00836312"/>
    <w:rsid w:val="008364E7"/>
    <w:rsid w:val="008376D9"/>
    <w:rsid w:val="00841EF5"/>
    <w:rsid w:val="008449A0"/>
    <w:rsid w:val="00845A7B"/>
    <w:rsid w:val="00852436"/>
    <w:rsid w:val="00854009"/>
    <w:rsid w:val="0085455A"/>
    <w:rsid w:val="00854A7F"/>
    <w:rsid w:val="00854AE2"/>
    <w:rsid w:val="00856F2F"/>
    <w:rsid w:val="0085708A"/>
    <w:rsid w:val="00861306"/>
    <w:rsid w:val="00862AB5"/>
    <w:rsid w:val="008741E1"/>
    <w:rsid w:val="00880553"/>
    <w:rsid w:val="00883690"/>
    <w:rsid w:val="00883F79"/>
    <w:rsid w:val="00885AAB"/>
    <w:rsid w:val="00887EE3"/>
    <w:rsid w:val="00895F7E"/>
    <w:rsid w:val="008964CA"/>
    <w:rsid w:val="00897320"/>
    <w:rsid w:val="008A634C"/>
    <w:rsid w:val="008B4B4C"/>
    <w:rsid w:val="008B50E9"/>
    <w:rsid w:val="008B652A"/>
    <w:rsid w:val="008B6D02"/>
    <w:rsid w:val="008C4E72"/>
    <w:rsid w:val="008C662D"/>
    <w:rsid w:val="008C7716"/>
    <w:rsid w:val="008C7FA8"/>
    <w:rsid w:val="008D13A4"/>
    <w:rsid w:val="008D1FC9"/>
    <w:rsid w:val="008D5C34"/>
    <w:rsid w:val="008F0AE8"/>
    <w:rsid w:val="008F0DE3"/>
    <w:rsid w:val="008F1C94"/>
    <w:rsid w:val="008F2819"/>
    <w:rsid w:val="00904111"/>
    <w:rsid w:val="009062CE"/>
    <w:rsid w:val="00911009"/>
    <w:rsid w:val="009170AA"/>
    <w:rsid w:val="00923E47"/>
    <w:rsid w:val="00926565"/>
    <w:rsid w:val="00930630"/>
    <w:rsid w:val="0094271B"/>
    <w:rsid w:val="00960C2E"/>
    <w:rsid w:val="00965A79"/>
    <w:rsid w:val="00966EE1"/>
    <w:rsid w:val="00967263"/>
    <w:rsid w:val="00976CFB"/>
    <w:rsid w:val="00976F2C"/>
    <w:rsid w:val="00980C78"/>
    <w:rsid w:val="00986CBB"/>
    <w:rsid w:val="00992B2B"/>
    <w:rsid w:val="00993510"/>
    <w:rsid w:val="009A1984"/>
    <w:rsid w:val="009A2543"/>
    <w:rsid w:val="009A3030"/>
    <w:rsid w:val="009B3826"/>
    <w:rsid w:val="009B4EE3"/>
    <w:rsid w:val="009B5C0B"/>
    <w:rsid w:val="009C1EA3"/>
    <w:rsid w:val="009C4B04"/>
    <w:rsid w:val="009D764F"/>
    <w:rsid w:val="009E2A6B"/>
    <w:rsid w:val="009E3369"/>
    <w:rsid w:val="009E3FA4"/>
    <w:rsid w:val="009E459D"/>
    <w:rsid w:val="009E493A"/>
    <w:rsid w:val="009E741A"/>
    <w:rsid w:val="009F063A"/>
    <w:rsid w:val="009F321E"/>
    <w:rsid w:val="009F3ED3"/>
    <w:rsid w:val="009F5151"/>
    <w:rsid w:val="00A00020"/>
    <w:rsid w:val="00A00040"/>
    <w:rsid w:val="00A11A2B"/>
    <w:rsid w:val="00A1247F"/>
    <w:rsid w:val="00A13125"/>
    <w:rsid w:val="00A145EA"/>
    <w:rsid w:val="00A15F5D"/>
    <w:rsid w:val="00A22B65"/>
    <w:rsid w:val="00A23536"/>
    <w:rsid w:val="00A26E79"/>
    <w:rsid w:val="00A275B6"/>
    <w:rsid w:val="00A27721"/>
    <w:rsid w:val="00A37B9A"/>
    <w:rsid w:val="00A41A52"/>
    <w:rsid w:val="00A53BA0"/>
    <w:rsid w:val="00A57037"/>
    <w:rsid w:val="00A615ED"/>
    <w:rsid w:val="00A66486"/>
    <w:rsid w:val="00A67192"/>
    <w:rsid w:val="00A712A9"/>
    <w:rsid w:val="00A77296"/>
    <w:rsid w:val="00A80107"/>
    <w:rsid w:val="00A80CB5"/>
    <w:rsid w:val="00A84DFF"/>
    <w:rsid w:val="00A87CC5"/>
    <w:rsid w:val="00A96217"/>
    <w:rsid w:val="00A96CF7"/>
    <w:rsid w:val="00AA2A45"/>
    <w:rsid w:val="00AA305B"/>
    <w:rsid w:val="00AA7F91"/>
    <w:rsid w:val="00AB4564"/>
    <w:rsid w:val="00AB5329"/>
    <w:rsid w:val="00AC1E36"/>
    <w:rsid w:val="00AC6FAE"/>
    <w:rsid w:val="00AD2BD2"/>
    <w:rsid w:val="00AD2C8E"/>
    <w:rsid w:val="00AD2F36"/>
    <w:rsid w:val="00AD3331"/>
    <w:rsid w:val="00AD750D"/>
    <w:rsid w:val="00AD766C"/>
    <w:rsid w:val="00AE10F3"/>
    <w:rsid w:val="00AE3318"/>
    <w:rsid w:val="00AE372E"/>
    <w:rsid w:val="00AE7987"/>
    <w:rsid w:val="00AF3810"/>
    <w:rsid w:val="00AF63EE"/>
    <w:rsid w:val="00AF7B8F"/>
    <w:rsid w:val="00B00170"/>
    <w:rsid w:val="00B00A45"/>
    <w:rsid w:val="00B02F23"/>
    <w:rsid w:val="00B03A38"/>
    <w:rsid w:val="00B06DCA"/>
    <w:rsid w:val="00B16573"/>
    <w:rsid w:val="00B16C94"/>
    <w:rsid w:val="00B20639"/>
    <w:rsid w:val="00B20C04"/>
    <w:rsid w:val="00B21BCC"/>
    <w:rsid w:val="00B2397E"/>
    <w:rsid w:val="00B31226"/>
    <w:rsid w:val="00B37467"/>
    <w:rsid w:val="00B40D90"/>
    <w:rsid w:val="00B52BC8"/>
    <w:rsid w:val="00B537A6"/>
    <w:rsid w:val="00B57584"/>
    <w:rsid w:val="00B611CC"/>
    <w:rsid w:val="00B6257F"/>
    <w:rsid w:val="00B71147"/>
    <w:rsid w:val="00B72AD4"/>
    <w:rsid w:val="00B8105F"/>
    <w:rsid w:val="00B83F33"/>
    <w:rsid w:val="00BA02DF"/>
    <w:rsid w:val="00BA1444"/>
    <w:rsid w:val="00BA5E54"/>
    <w:rsid w:val="00BB2CB4"/>
    <w:rsid w:val="00BB4343"/>
    <w:rsid w:val="00BB6806"/>
    <w:rsid w:val="00BC0DDB"/>
    <w:rsid w:val="00BC6AA0"/>
    <w:rsid w:val="00BD1EF5"/>
    <w:rsid w:val="00BE0FB9"/>
    <w:rsid w:val="00BE382B"/>
    <w:rsid w:val="00BE4C31"/>
    <w:rsid w:val="00BE5C3C"/>
    <w:rsid w:val="00BF00B2"/>
    <w:rsid w:val="00BF0FA6"/>
    <w:rsid w:val="00BF5A10"/>
    <w:rsid w:val="00C108E0"/>
    <w:rsid w:val="00C10D9F"/>
    <w:rsid w:val="00C11DEB"/>
    <w:rsid w:val="00C13F98"/>
    <w:rsid w:val="00C1712E"/>
    <w:rsid w:val="00C1731A"/>
    <w:rsid w:val="00C17399"/>
    <w:rsid w:val="00C20223"/>
    <w:rsid w:val="00C20702"/>
    <w:rsid w:val="00C213CA"/>
    <w:rsid w:val="00C23C74"/>
    <w:rsid w:val="00C306E4"/>
    <w:rsid w:val="00C3091F"/>
    <w:rsid w:val="00C34CAA"/>
    <w:rsid w:val="00C41EE1"/>
    <w:rsid w:val="00C454CD"/>
    <w:rsid w:val="00C50C87"/>
    <w:rsid w:val="00C51153"/>
    <w:rsid w:val="00C642EC"/>
    <w:rsid w:val="00C64596"/>
    <w:rsid w:val="00C65953"/>
    <w:rsid w:val="00C65BC2"/>
    <w:rsid w:val="00C67A10"/>
    <w:rsid w:val="00C8000F"/>
    <w:rsid w:val="00C804FC"/>
    <w:rsid w:val="00C84D87"/>
    <w:rsid w:val="00C84E71"/>
    <w:rsid w:val="00C85D7E"/>
    <w:rsid w:val="00C879A1"/>
    <w:rsid w:val="00C91577"/>
    <w:rsid w:val="00C9235E"/>
    <w:rsid w:val="00C92E04"/>
    <w:rsid w:val="00C94EBC"/>
    <w:rsid w:val="00CA6C4A"/>
    <w:rsid w:val="00CC2475"/>
    <w:rsid w:val="00CC25BF"/>
    <w:rsid w:val="00CC28AA"/>
    <w:rsid w:val="00CC3462"/>
    <w:rsid w:val="00CC4D80"/>
    <w:rsid w:val="00CD5C15"/>
    <w:rsid w:val="00CE2EA4"/>
    <w:rsid w:val="00CF42F3"/>
    <w:rsid w:val="00CF4F99"/>
    <w:rsid w:val="00D00E64"/>
    <w:rsid w:val="00D03BC4"/>
    <w:rsid w:val="00D0616D"/>
    <w:rsid w:val="00D1196F"/>
    <w:rsid w:val="00D156DF"/>
    <w:rsid w:val="00D159AC"/>
    <w:rsid w:val="00D214AD"/>
    <w:rsid w:val="00D270F6"/>
    <w:rsid w:val="00D53950"/>
    <w:rsid w:val="00D53E43"/>
    <w:rsid w:val="00D600CF"/>
    <w:rsid w:val="00D6166C"/>
    <w:rsid w:val="00D66790"/>
    <w:rsid w:val="00D6769E"/>
    <w:rsid w:val="00D676B3"/>
    <w:rsid w:val="00D756B1"/>
    <w:rsid w:val="00D759D8"/>
    <w:rsid w:val="00D85B54"/>
    <w:rsid w:val="00D863E2"/>
    <w:rsid w:val="00D86674"/>
    <w:rsid w:val="00D87A7E"/>
    <w:rsid w:val="00D926D4"/>
    <w:rsid w:val="00DA0ED7"/>
    <w:rsid w:val="00DA27AA"/>
    <w:rsid w:val="00DA463A"/>
    <w:rsid w:val="00DA6787"/>
    <w:rsid w:val="00DB09D4"/>
    <w:rsid w:val="00DB28C7"/>
    <w:rsid w:val="00DB386A"/>
    <w:rsid w:val="00DB4AE4"/>
    <w:rsid w:val="00DB51B0"/>
    <w:rsid w:val="00DB6FF7"/>
    <w:rsid w:val="00DC1622"/>
    <w:rsid w:val="00DC2169"/>
    <w:rsid w:val="00DD148E"/>
    <w:rsid w:val="00DD64C4"/>
    <w:rsid w:val="00DD6D7F"/>
    <w:rsid w:val="00DE1E87"/>
    <w:rsid w:val="00DF2983"/>
    <w:rsid w:val="00DF300F"/>
    <w:rsid w:val="00DF3108"/>
    <w:rsid w:val="00E00AE8"/>
    <w:rsid w:val="00E22B5E"/>
    <w:rsid w:val="00E3022D"/>
    <w:rsid w:val="00E30572"/>
    <w:rsid w:val="00E41570"/>
    <w:rsid w:val="00E443AE"/>
    <w:rsid w:val="00E4547E"/>
    <w:rsid w:val="00E47854"/>
    <w:rsid w:val="00E52762"/>
    <w:rsid w:val="00E54338"/>
    <w:rsid w:val="00E651DA"/>
    <w:rsid w:val="00E652BE"/>
    <w:rsid w:val="00E672C8"/>
    <w:rsid w:val="00E711C2"/>
    <w:rsid w:val="00E7584D"/>
    <w:rsid w:val="00E75D3F"/>
    <w:rsid w:val="00E77D4A"/>
    <w:rsid w:val="00E95447"/>
    <w:rsid w:val="00E96D1C"/>
    <w:rsid w:val="00EA1953"/>
    <w:rsid w:val="00EA6BD7"/>
    <w:rsid w:val="00EA75F1"/>
    <w:rsid w:val="00EB2634"/>
    <w:rsid w:val="00EC15C0"/>
    <w:rsid w:val="00EC1615"/>
    <w:rsid w:val="00EC58AB"/>
    <w:rsid w:val="00ED1B56"/>
    <w:rsid w:val="00ED55FB"/>
    <w:rsid w:val="00ED7735"/>
    <w:rsid w:val="00EF2951"/>
    <w:rsid w:val="00EF782F"/>
    <w:rsid w:val="00F04F90"/>
    <w:rsid w:val="00F10139"/>
    <w:rsid w:val="00F17B65"/>
    <w:rsid w:val="00F22F64"/>
    <w:rsid w:val="00F23043"/>
    <w:rsid w:val="00F25CF7"/>
    <w:rsid w:val="00F35CD5"/>
    <w:rsid w:val="00F36ED6"/>
    <w:rsid w:val="00F464AD"/>
    <w:rsid w:val="00F50141"/>
    <w:rsid w:val="00F52BD9"/>
    <w:rsid w:val="00F606A7"/>
    <w:rsid w:val="00F609DF"/>
    <w:rsid w:val="00F62B5F"/>
    <w:rsid w:val="00F648E3"/>
    <w:rsid w:val="00F66E64"/>
    <w:rsid w:val="00F72A3C"/>
    <w:rsid w:val="00F753EC"/>
    <w:rsid w:val="00F810FA"/>
    <w:rsid w:val="00FA7806"/>
    <w:rsid w:val="00FB708B"/>
    <w:rsid w:val="00FB7414"/>
    <w:rsid w:val="00FC09A8"/>
    <w:rsid w:val="00FC19A0"/>
    <w:rsid w:val="00FC4357"/>
    <w:rsid w:val="00FD058B"/>
    <w:rsid w:val="00FD2063"/>
    <w:rsid w:val="00FD326E"/>
    <w:rsid w:val="00FD5820"/>
    <w:rsid w:val="00FD5D91"/>
    <w:rsid w:val="00FD67D0"/>
    <w:rsid w:val="00FE1E7E"/>
    <w:rsid w:val="00FE33A1"/>
    <w:rsid w:val="00FE5099"/>
    <w:rsid w:val="00FF05A2"/>
    <w:rsid w:val="00FF2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53E"/>
    <w:pPr>
      <w:numPr>
        <w:numId w:val="2"/>
      </w:numPr>
      <w:autoSpaceDE w:val="0"/>
      <w:autoSpaceDN w:val="0"/>
      <w:adjustRightInd w:val="0"/>
      <w:spacing w:after="0"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14753E"/>
    <w:pPr>
      <w:numPr>
        <w:ilvl w:val="1"/>
      </w:numPr>
      <w:ind w:left="792"/>
      <w:outlineLvl w:val="1"/>
    </w:pPr>
    <w:rPr>
      <w:sz w:val="28"/>
      <w:szCs w:val="28"/>
    </w:rPr>
  </w:style>
  <w:style w:type="paragraph" w:styleId="Heading3">
    <w:name w:val="heading 3"/>
    <w:basedOn w:val="Heading2"/>
    <w:next w:val="Normal"/>
    <w:link w:val="Heading3Char"/>
    <w:uiPriority w:val="9"/>
    <w:unhideWhenUsed/>
    <w:qFormat/>
    <w:rsid w:val="00CF4F99"/>
    <w:pPr>
      <w:numPr>
        <w:ilvl w:val="2"/>
      </w:numPr>
      <w:outlineLvl w:val="2"/>
    </w:pPr>
    <w:rPr>
      <w:sz w:val="24"/>
      <w:szCs w:val="24"/>
    </w:rPr>
  </w:style>
  <w:style w:type="paragraph" w:styleId="Heading4">
    <w:name w:val="heading 4"/>
    <w:basedOn w:val="Normal"/>
    <w:next w:val="Normal"/>
    <w:link w:val="Heading4Char"/>
    <w:uiPriority w:val="9"/>
    <w:unhideWhenUsed/>
    <w:qFormat/>
    <w:rsid w:val="006906D4"/>
    <w:pPr>
      <w:spacing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14753E"/>
    <w:rPr>
      <w:rFonts w:cstheme="minorHAnsi"/>
      <w:b/>
      <w:color w:val="522E91"/>
      <w:sz w:val="28"/>
      <w:szCs w:val="28"/>
    </w:rPr>
  </w:style>
  <w:style w:type="character" w:customStyle="1" w:styleId="Heading3Char">
    <w:name w:val="Heading 3 Char"/>
    <w:basedOn w:val="DefaultParagraphFont"/>
    <w:link w:val="Heading3"/>
    <w:uiPriority w:val="9"/>
    <w:rsid w:val="00CF4F99"/>
    <w:rPr>
      <w:rFonts w:cstheme="minorHAnsi"/>
      <w:b/>
      <w:color w:val="522E91"/>
      <w:sz w:val="24"/>
      <w:szCs w:val="24"/>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sz w:val="24"/>
      <w:szCs w:val="24"/>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semiHidden/>
    <w:unhideWhenUsed/>
    <w:rsid w:val="00FD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6906D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53E"/>
    <w:pPr>
      <w:numPr>
        <w:numId w:val="2"/>
      </w:numPr>
      <w:autoSpaceDE w:val="0"/>
      <w:autoSpaceDN w:val="0"/>
      <w:adjustRightInd w:val="0"/>
      <w:spacing w:after="0"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14753E"/>
    <w:pPr>
      <w:numPr>
        <w:ilvl w:val="1"/>
      </w:numPr>
      <w:ind w:left="792"/>
      <w:outlineLvl w:val="1"/>
    </w:pPr>
    <w:rPr>
      <w:sz w:val="28"/>
      <w:szCs w:val="28"/>
    </w:rPr>
  </w:style>
  <w:style w:type="paragraph" w:styleId="Heading3">
    <w:name w:val="heading 3"/>
    <w:basedOn w:val="Heading2"/>
    <w:next w:val="Normal"/>
    <w:link w:val="Heading3Char"/>
    <w:uiPriority w:val="9"/>
    <w:unhideWhenUsed/>
    <w:qFormat/>
    <w:rsid w:val="00CF4F99"/>
    <w:pPr>
      <w:numPr>
        <w:ilvl w:val="2"/>
      </w:numPr>
      <w:outlineLvl w:val="2"/>
    </w:pPr>
    <w:rPr>
      <w:sz w:val="24"/>
      <w:szCs w:val="24"/>
    </w:rPr>
  </w:style>
  <w:style w:type="paragraph" w:styleId="Heading4">
    <w:name w:val="heading 4"/>
    <w:basedOn w:val="Normal"/>
    <w:next w:val="Normal"/>
    <w:link w:val="Heading4Char"/>
    <w:uiPriority w:val="9"/>
    <w:unhideWhenUsed/>
    <w:qFormat/>
    <w:rsid w:val="006906D4"/>
    <w:pPr>
      <w:spacing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14753E"/>
    <w:rPr>
      <w:rFonts w:cstheme="minorHAnsi"/>
      <w:b/>
      <w:color w:val="522E91"/>
      <w:sz w:val="28"/>
      <w:szCs w:val="28"/>
    </w:rPr>
  </w:style>
  <w:style w:type="character" w:customStyle="1" w:styleId="Heading3Char">
    <w:name w:val="Heading 3 Char"/>
    <w:basedOn w:val="DefaultParagraphFont"/>
    <w:link w:val="Heading3"/>
    <w:uiPriority w:val="9"/>
    <w:rsid w:val="00CF4F99"/>
    <w:rPr>
      <w:rFonts w:cstheme="minorHAnsi"/>
      <w:b/>
      <w:color w:val="522E91"/>
      <w:sz w:val="24"/>
      <w:szCs w:val="24"/>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sz w:val="24"/>
      <w:szCs w:val="24"/>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semiHidden/>
    <w:unhideWhenUsed/>
    <w:rsid w:val="00FD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6906D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60FC-9473-4653-A721-53B26EB2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Loebel</dc:creator>
  <cp:lastModifiedBy>Susan Peterson</cp:lastModifiedBy>
  <cp:revision>36</cp:revision>
  <cp:lastPrinted>2015-02-18T22:15:00Z</cp:lastPrinted>
  <dcterms:created xsi:type="dcterms:W3CDTF">2015-02-19T22:54:00Z</dcterms:created>
  <dcterms:modified xsi:type="dcterms:W3CDTF">2015-02-20T01:46:00Z</dcterms:modified>
</cp:coreProperties>
</file>